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0"/>
        <w:jc w:val="center"/>
        <w:rPr/>
      </w:pPr>
      <w:r w:rsidDel="00000000" w:rsidR="00000000" w:rsidRPr="00000000">
        <w:rPr>
          <w:b w:val="1"/>
          <w:bCs w:val="1"/>
          <w:sz w:val="26"/>
          <w:szCs w:val="26"/>
          <w:rtl w:val="0"/>
        </w:rPr>
        <w:t xml:space="preserve">A (Falta de) Neutralidade e a Governança Decisória do Fundo Monetário Internacional</w:t>
      </w:r>
      <w:r w:rsidDel="00000000" w:rsidR="00000000" w:rsidRPr="00000000">
        <w:rPr>
          <w:rtl w:val="0"/>
        </w:rPr>
      </w:r>
    </w:p>
    <w:p w:rsidR="00000000" w:rsidDel="00000000" w:rsidP="00000000" w:rsidRDefault="00000000" w:rsidRPr="00000000" w14:paraId="00000002">
      <w:pPr>
        <w:ind w:firstLine="0"/>
        <w:jc w:val="center"/>
        <w:rPr>
          <w:b w:val="1"/>
          <w:bCs w:val="1"/>
        </w:rPr>
      </w:pPr>
      <w:r w:rsidDel="00000000" w:rsidR="00000000" w:rsidRPr="00000000">
        <w:rPr>
          <w:rtl w:val="0"/>
        </w:rPr>
      </w:r>
    </w:p>
    <w:p w:rsidR="00000000" w:rsidDel="00000000" w:rsidP="00000000" w:rsidRDefault="00000000" w:rsidRPr="00000000" w14:paraId="00000003">
      <w:pPr>
        <w:ind w:firstLine="0"/>
        <w:jc w:val="right"/>
        <w:rPr/>
      </w:pPr>
      <w:r w:rsidDel="00000000" w:rsidR="00000000" w:rsidRPr="00000000">
        <w:rPr>
          <w:rtl w:val="0"/>
        </w:rPr>
        <w:t xml:space="preserve">Mariana Mariani</w:t>
      </w:r>
      <w:r w:rsidDel="00000000" w:rsidR="00000000" w:rsidRPr="00000000">
        <w:rPr>
          <w:vertAlign w:val="superscript"/>
        </w:rPr>
        <w:footnoteReference w:customMarkFollows="0" w:id="0"/>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left="0" w:firstLine="0"/>
        <w:jc w:val="left"/>
        <w:rPr>
          <w:b w:val="1"/>
          <w:bCs w:val="1"/>
        </w:rPr>
      </w:pPr>
      <w:r w:rsidDel="00000000" w:rsidR="00000000" w:rsidRPr="00000000">
        <w:rPr>
          <w:b w:val="1"/>
          <w:bCs w:val="1"/>
          <w:rtl w:val="0"/>
        </w:rPr>
        <w:t xml:space="preserve">INTRODUÇÃO</w:t>
      </w:r>
    </w:p>
    <w:p w:rsidR="00000000" w:rsidDel="00000000" w:rsidP="00000000" w:rsidRDefault="00000000" w:rsidRPr="00000000" w14:paraId="00000006">
      <w:pPr>
        <w:jc w:val="left"/>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Na década de 2000, mais de um bilhão de pessoas viviam em países sob estreita supervisão do Fundo Monetário Internacional (FMI) (Breen, 2013). Essa supervisão concentrava-se principalmente no cumprimento das condições impostas pelo Fundo para a contratação de empréstimos (Thacker, 1999). Há extenso debate na literatura sobre a natureza de tais condições, que são entendidas como termos caracteristicamente neoliberais, destinados a criar e expandir mercados livres e a impor impostos de forma enviesada pelo Fundo aos países que precisam de maior controle econômico e político (Kentikelenis e Babb, 2019), o que leva a crer que não haveria neutralidade nas ações do FMI. Apesar disso, os Artigos do Acordo do Fundo dispõem, como princípios norteadores, a neutralidade política e a imparcialidade (Ansong, 2018) e determinam que o mandato da Instituição deva ser baseado tão somente na expertise econômica neutra (Best, 2012).</w:t>
      </w:r>
    </w:p>
    <w:p w:rsidR="00000000" w:rsidDel="00000000" w:rsidP="00000000" w:rsidRDefault="00000000" w:rsidRPr="00000000" w14:paraId="00000008">
      <w:pPr>
        <w:rPr/>
      </w:pPr>
      <w:r w:rsidDel="00000000" w:rsidR="00000000" w:rsidRPr="00000000">
        <w:rPr>
          <w:rtl w:val="0"/>
        </w:rPr>
        <w:t xml:space="preserve">Com isso, surge o questionamento: a estrutura de governança decisória do Fundo, de fato, é permissiva ao uso da instituição como instrumento político, ou prevalecem as disposições do Acordo, sendo o FMI norteado pela neutralidade política e pela imparcialidade?</w:t>
      </w:r>
    </w:p>
    <w:p w:rsidR="00000000" w:rsidDel="00000000" w:rsidP="00000000" w:rsidRDefault="00000000" w:rsidRPr="00000000" w14:paraId="00000009">
      <w:pPr>
        <w:rPr/>
      </w:pPr>
      <w:r w:rsidDel="00000000" w:rsidR="00000000" w:rsidRPr="00000000">
        <w:rPr>
          <w:rtl w:val="0"/>
        </w:rPr>
        <w:t xml:space="preserve">A fim de realizar essa investigação, este capítulo dedica-se a examinar a literatura especializada, em contraste com a análise dos regulamentos do FMI. Para tal, serão realizados: uma revisão bibliográfica da literatura sobre governança global, ciência política e estudos econométricos; um levantamento de dados secundários sobre a estrutura de governança do Fundo; e um estudo sobre a imposição de condicionalidades aos empréstimos da instituição.</w:t>
      </w:r>
    </w:p>
    <w:p w:rsidR="00000000" w:rsidDel="00000000" w:rsidP="00000000" w:rsidRDefault="00000000" w:rsidRPr="00000000" w14:paraId="0000000A">
      <w:pPr>
        <w:rPr/>
      </w:pPr>
      <w:r w:rsidDel="00000000" w:rsidR="00000000" w:rsidRPr="00000000">
        <w:rPr>
          <w:rtl w:val="0"/>
        </w:rPr>
        <w:t xml:space="preserve">Com isso, potenciais elementos de viés e parcialidade no processo decisório do Fundo serão analisados na seguinte estrutura: (I) primeiro, uma perspectiva histórica e crítica sobre a criação da instituição será apresentada, seguida de discussão acerca (II) da estrutura decisória do FMI. Com isso, serão debatidas duas evidências empíricas que informam a discussão sobre a neutralidade do Fundo: (III) as condicionalidades impostas aos empréstimos; e (IV) as esferas de influência no âmbito do Conselho de Segurança (CSNU) e da Assembleia Geral da ONU (AGNU). </w:t>
      </w:r>
    </w:p>
    <w:p w:rsidR="00000000" w:rsidDel="00000000" w:rsidP="00000000" w:rsidRDefault="00000000" w:rsidRPr="00000000" w14:paraId="0000000B">
      <w:pPr>
        <w:jc w:val="left"/>
        <w:rPr>
          <w:b w:val="1"/>
          <w:bCs w:val="1"/>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b w:val="1"/>
          <w:bCs w:val="1"/>
          <w:rtl w:val="0"/>
        </w:rPr>
        <w:t xml:space="preserve">I -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 GÊNESE DO FMI COMO CONSOLIDAÇÃO DE HEGEMONIAS GLOB</w:t>
      </w:r>
      <w:r w:rsidDel="00000000" w:rsidR="00000000" w:rsidRPr="00000000">
        <w:rPr>
          <w:b w:val="1"/>
          <w:bCs w:val="1"/>
          <w:rtl w:val="0"/>
        </w:rPr>
        <w:t xml:space="preserve">AIS</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Um olhar mais atento à criação do Fundo Monetário Internacional revela que sua concepção foi marcada por uma intensa disputa de força entre os Estados Unidos da América, representados por Harry Dexter White, e o Reino Unido, representado por John Maynard Keynes, na definição da estrutura e das funções da nova instituição multilateral (Kahn, 2022; Ansong, 2018). Essa disputa refletia não apenas divergências técnicas sobre mecanismos de estabilização monetária, mas também profundas assimetrias geopolíticas e visões concorrentes acerca do papel do Estado na economia, da forma adequada de prover liquidez internacional e do grau de autonomia que os países deveriam manter na condução de suas políticas macroeconômicas. Em outras palavras, os debates sobre o desenho institucional do FMI expressavam o choque entre uma potência em ascensão — os Estados Unidos — e um império em declínio — o Reino Unido — cada qual buscando moldar a ordem econômica do pós-guerra segundo seus interesses estratégicos.</w:t>
      </w:r>
    </w:p>
    <w:p w:rsidR="00000000" w:rsidDel="00000000" w:rsidP="00000000" w:rsidRDefault="00000000" w:rsidRPr="00000000" w14:paraId="0000000F">
      <w:pPr>
        <w:rPr/>
      </w:pPr>
      <w:r w:rsidDel="00000000" w:rsidR="00000000" w:rsidRPr="00000000">
        <w:rPr>
          <w:rtl w:val="0"/>
        </w:rPr>
        <w:t xml:space="preserve">Enquanto Keynes defendia a criação de uma autoridade supranacional robusta — a </w:t>
      </w:r>
      <w:r w:rsidDel="00000000" w:rsidR="00000000" w:rsidRPr="00000000">
        <w:rPr>
          <w:i w:val="1"/>
          <w:iCs w:val="1"/>
          <w:rtl w:val="0"/>
        </w:rPr>
        <w:t xml:space="preserve">International Clearing Union</w:t>
      </w:r>
      <w:r w:rsidDel="00000000" w:rsidR="00000000" w:rsidRPr="00000000">
        <w:rPr>
          <w:rtl w:val="0"/>
        </w:rPr>
        <w:t xml:space="preserve"> — concebida para ampliar significativamente a liquidez global, disciplinar países superavitários e reduzir a dependência de reservas nacionais, White propunha um fundo de estabilização mais restrito, baseado essencialmente no dólar e estruturado para reforçar a liderança norte-americana no sistema monetário emergente (Helleiner, 2014; Skidelsky, 2000; Steil, 2013). A partir da publicação da Carta do Atlântico, em 1941, ambos os países passaram a desenvolver propostas distintas para o acordo futuro do Fundo, refletindo suas prioridades econômicas e suas posições relativas ao equilíbrio de poder internacional. Essa fase inicial de formulação foi marcada por intensas negociações técnicas, diplomáticas e ideológicas.</w:t>
      </w:r>
    </w:p>
    <w:p w:rsidR="00000000" w:rsidDel="00000000" w:rsidP="00000000" w:rsidRDefault="00000000" w:rsidRPr="00000000" w14:paraId="00000010">
      <w:pPr>
        <w:rPr/>
      </w:pPr>
      <w:r w:rsidDel="00000000" w:rsidR="00000000" w:rsidRPr="00000000">
        <w:rPr>
          <w:rtl w:val="0"/>
        </w:rPr>
        <w:t xml:space="preserve">Depois de três anos de embates políticos e debates técnicos, a proposta estadunidense, defendida por White, acabou prevalecendo, sobretudo em virtude do declínio do poder britânico e da ascensão dos Estados Unidos como principal credor e potência econômica do período. A aprovação da versão final, negociada em conjunto na Conferência de Bretton Woods, em 1944, foi, portanto, um resultado direto dessas longas disputas, consolidando um arranjo institucional alinhado aos interesses de Washington e ao papel central do dólar na economia mundial (Gardner, 1980; Boughton, 2001). Naquele contexto, assegurar a estabilidade econômica global — especialmente evitar o retorno das condições que haviam levado à Grande Depressão — era apresentado como objetivo fundamental do FMI, justificando a criação de mecanismos que permitissem coordenar políticas cambiais e oferecer apoio financeiro a Estados em dificuldade (Ansong, 2018; Grabel, 2019).</w:t>
      </w:r>
    </w:p>
    <w:p w:rsidR="00000000" w:rsidDel="00000000" w:rsidP="00000000" w:rsidRDefault="00000000" w:rsidRPr="00000000" w14:paraId="00000011">
      <w:pPr>
        <w:rPr/>
      </w:pPr>
      <w:r w:rsidDel="00000000" w:rsidR="00000000" w:rsidRPr="00000000">
        <w:rPr>
          <w:rtl w:val="0"/>
        </w:rPr>
        <w:t xml:space="preserve">Embora Bretton Woods tenha consagrado, em linhas gerais, o desenho preferido por White e tenha rejeitado a proposta de </w:t>
      </w:r>
      <w:r w:rsidDel="00000000" w:rsidR="00000000" w:rsidRPr="00000000">
        <w:rPr>
          <w:i w:val="1"/>
          <w:iCs w:val="1"/>
          <w:rtl w:val="0"/>
        </w:rPr>
        <w:t xml:space="preserve">International Clearing Union</w:t>
      </w:r>
      <w:r w:rsidDel="00000000" w:rsidR="00000000" w:rsidRPr="00000000">
        <w:rPr>
          <w:rtl w:val="0"/>
        </w:rPr>
        <w:t xml:space="preserve"> de Keynes, a trajetória histórica do Fundo não permaneceu confinada ao modelo original de um mecanismo restrito de estabilização cambial. Ao longo das décadas seguintes, mudanças no contexto econômico internacional e na prática institucional ampliaram progressivamente o escopo de atuação do FMI, deslocando-o do papel inicialmente previsto e criando as condições para a inflexão observada a partir dos anos 1980. Naquela década, com a formulação e implementação do Plano Baker pelos Estados Unidos, o Fundo Monetário Internacional passou por uma profunda transformação, ainda que não formalizada em seus estatutos. </w:t>
      </w:r>
    </w:p>
    <w:p w:rsidR="00000000" w:rsidDel="00000000" w:rsidP="00000000" w:rsidRDefault="00000000" w:rsidRPr="00000000" w14:paraId="00000012">
      <w:pPr>
        <w:rPr/>
      </w:pPr>
      <w:r w:rsidDel="00000000" w:rsidR="00000000" w:rsidRPr="00000000">
        <w:rPr>
          <w:rtl w:val="0"/>
        </w:rPr>
        <w:t xml:space="preserve">Assim, conquanto seu mandato original estivesse centrado na promoção da estabilidade cambial e na assistência financeira de curto prazo, o FMI viu-se gradualmente reposicionado como agente de promoção de reformas estruturais amplas, voltadas à reconfiguração das economias de países de baixa e média renda. Tal reorientação promoveu a difusão global da ideologia de livre mercado, articulada por meio de condicionalidades cada vez mais abrangentes e intrusivas (Kentikelenis e Babb, 2019, p. 1723). Em vez de atuar como um mecanismo de coordenação macroeconômica internacional — como idealizado no pós-guerra — o FMI tornou-se, então, um instrumento central do projeto de liberalização e ajuste estrutural que definia a ordem econômica internacional emergente na década de 1980.</w:t>
      </w:r>
    </w:p>
    <w:p w:rsidR="00000000" w:rsidDel="00000000" w:rsidP="00000000" w:rsidRDefault="00000000" w:rsidRPr="00000000" w14:paraId="00000013">
      <w:pPr>
        <w:rPr/>
      </w:pPr>
      <w:r w:rsidDel="00000000" w:rsidR="00000000" w:rsidRPr="00000000">
        <w:rPr>
          <w:rtl w:val="0"/>
        </w:rPr>
        <w:t xml:space="preserve">O estudo de Kentikelenis e Babb, baseado na análise de mais de 8.500 páginas de documentos desclassificados do FMI e do Departamento do Tesouro dos EUA, revela que essa transformação ocorreu por meio de alterações informais nas normas operacionais do Fundo. Segundo as autoras, os Estados Unidos utilizaram sua posição dominante para influenciar discretamente a prática institucional do FMI, permitindo mudanças substanciais em suas atividades, sem necessidade de reformar suas regras ou explicitar o caráter político das decisões. Desse modo, as “letras” das regras permaneceram intactas, mas sua interpretação e aplicação foram modificadas para ampliar o escopo de atuação do Fundo, redefinindo seu propósito sem qualquer escrutínio público ou debate entre os Estados-membros (Kentikelenis e Babb, 2019). </w:t>
      </w:r>
    </w:p>
    <w:p w:rsidR="00000000" w:rsidDel="00000000" w:rsidP="00000000" w:rsidRDefault="00000000" w:rsidRPr="00000000" w14:paraId="00000014">
      <w:pPr>
        <w:rPr/>
      </w:pPr>
      <w:r w:rsidDel="00000000" w:rsidR="00000000" w:rsidRPr="00000000">
        <w:rPr>
          <w:rtl w:val="0"/>
        </w:rPr>
        <w:t xml:space="preserve">A literatura pós-colonial oferece uma leitura crítica desse processo ao argumentar que as instituições criadas em Bretton Woods contribuíram para a manutenção de relações hierárquicas entre antigas colônias e seus ex-colonizadores. Para autores dessa vertente, a independência política concedida a muitos Estados no pós-guerra não se traduziu em poder efetivo, na medida em que instituições como o Banco Mundial e o FMI — autodeclaradas apolíticas — reforçaram as assimetrias estruturais ao condicionar as políticas econômicas de países de baixa e média renda (Anghie, 2005, p. 254). A distinção construída entre instituições econômicas, supostamente técnicas, e instituições políticas, como a ONU, serviu, portanto, para legitimar uma forma de governança global que mascarava decisões profundamente políticas sob a aparência de expertise econômica (Pahuja, 2011, p. 39). Nesse sentido, a ação do FMI, especialmente a partir dos anos 1980, integraria um projeto mais amplo, baseado em uma ontologia liberal de governança, que não apenas produziria resultados econômicos específicos, mas também geraria violência epistêmica ao impor modelos de desenvolvimento e de conhecimento alheios às realidades dos países de baixa e média renda (Querejazu, 2021).</w:t>
      </w:r>
    </w:p>
    <w:p w:rsidR="00000000" w:rsidDel="00000000" w:rsidP="00000000" w:rsidRDefault="00000000" w:rsidRPr="00000000" w14:paraId="00000015">
      <w:pPr>
        <w:rPr/>
      </w:pPr>
      <w:r w:rsidDel="00000000" w:rsidR="00000000" w:rsidRPr="00000000">
        <w:rPr>
          <w:rtl w:val="0"/>
        </w:rPr>
        <w:t xml:space="preserve">Como visto, permanece aberto o debate sobre se o FMI é, de fato, guiado por critérios de expertise econômica e de neutralidade política ou se opera como instrumento de interesses geopolíticos. Para avançar nessa discussão, é essencial examinar sua estrutura decisória e a distribuição de poder entre seus membros, elementos fundamentais para compreender como se formam, negociam e implementam as políticas do Fundo.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b w:val="1"/>
          <w:bCs w:val="1"/>
          <w:rtl w:val="0"/>
        </w:rPr>
        <w:t xml:space="preserve">II -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 DESENHO DE GOVERNANÇA DECISÓRIA DO FMI COMO MECA</w:t>
      </w:r>
      <w:r w:rsidDel="00000000" w:rsidR="00000000" w:rsidRPr="00000000">
        <w:rPr>
          <w:b w:val="1"/>
          <w:bCs w:val="1"/>
          <w:rtl w:val="0"/>
        </w:rPr>
        <w:t xml:space="preserve">NISMO ESTRUTURAL DE CONCENTRAÇÃO DE PODER </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 estrutura decisória do FMI é composta principalmente pelo Conselho de Governadores e pelo Conselho Executivo, em um arranjo típico de organizações financeiras internacionais: um órgão plenário, de soberania formal máxima, e um órgão residente, responsável pela rotina decisória e pela execução do mandato. O Conselho de Governadores, que reúne todos os Estados-membros (um governador e um suplente por país), é o órgão supremo de decisão, detém poderes residuais e atua como instância última na interpretação dos Artigos do Acordo (Ansong, 2018).  Essa centralidade está explicitada no Artigo XII: “</w:t>
      </w:r>
      <w:r w:rsidDel="00000000" w:rsidR="00000000" w:rsidRPr="00000000">
        <w:rPr>
          <w:i w:val="1"/>
          <w:iCs w:val="1"/>
          <w:rtl w:val="0"/>
        </w:rPr>
        <w:t xml:space="preserve">todos os poderes não conferidos diretamente</w:t>
      </w:r>
      <w:r w:rsidDel="00000000" w:rsidR="00000000" w:rsidRPr="00000000">
        <w:rPr>
          <w:rtl w:val="0"/>
        </w:rPr>
        <w:t xml:space="preserve">” a outros órgãos permanecem no Conselho de Governadores, que também pode delegar competências ao Conselho Executivo (International Monetary Fund, 2020).  Na prática, o Conselho de Governadores reúne-se ordinariamente uma vez por ano, nas Reuniões Anuais, preservando para si decisões constitucionais (por exemplo, grandes reformas institucionais, admissão/saída de membros, emendas aos artigos do Acordo e revisões de quotas), enquanto delega a maior parte da operação cotidiana ao Conselho Executivo (International Monetary Fund, 2025). </w:t>
      </w:r>
    </w:p>
    <w:p w:rsidR="00000000" w:rsidDel="00000000" w:rsidP="00000000" w:rsidRDefault="00000000" w:rsidRPr="00000000" w14:paraId="0000001A">
      <w:pPr>
        <w:rPr/>
      </w:pPr>
      <w:r w:rsidDel="00000000" w:rsidR="00000000" w:rsidRPr="00000000">
        <w:rPr>
          <w:rtl w:val="0"/>
        </w:rPr>
        <w:t xml:space="preserve">Um componente crucial desse desenho é o uso de maiorias qualificadas para decisões sensíveis. Suas decisões mais importantes, como mudanças de cotas, exigem maioria especial (Ansong, 2018). Essas supermaiorias não são meramente procedimentais, mas estruturam o FMI como uma instituição de alto custo de mudança, criando pontos de veto que elevam o poder de barganha dos grandes acionistas. O próprio Artigo XII, Seções 1 e 3(c), prevê, por exemplo, que a criação/ativação de um conselho (por aplicação do Schedule D, International Monetary Fund, 2020) depende de 85% do poder de voto total, assim como o número de Diretores Executivos.  Para além disso, o Artigo XII também prevê a necessidade de atingir a maioria de 70% para a aprovação de decisões financeiras internas relevantes, como determinadas distribuições de reservas e a publicização de relatórios em circunstâncias específicas. (International Monetary Fund, 2020).</w:t>
      </w:r>
    </w:p>
    <w:p w:rsidR="00000000" w:rsidDel="00000000" w:rsidP="00000000" w:rsidRDefault="00000000" w:rsidRPr="00000000" w14:paraId="0000001B">
      <w:pPr>
        <w:rPr/>
      </w:pPr>
      <w:r w:rsidDel="00000000" w:rsidR="00000000" w:rsidRPr="00000000">
        <w:rPr>
          <w:rtl w:val="0"/>
        </w:rPr>
        <w:t xml:space="preserve">Já o Conselho Executivo supervisiona as atividades diárias do FMI, delibera sobre programas de financiamento, condicionalidades, avaliações de Artigo IV e diretrizes operacionais, atuando com base nos poderes delegados pelo Conselho de Governadores (Kentikelenis e Babb, 2019; Ansong, 2018; Woods e Lombardi, 2006). O Artigo XII define a estrutura da organização e de sua gestão, e o Artigo XII, 3(a), estabelece que o Conselho Executivo é responsável pela condução dos negócios do Fundo (International Monetary Fund, 2020).  Atualmente, o Conselho Executivo conta com 25 diretores. </w:t>
      </w:r>
    </w:p>
    <w:p w:rsidR="00000000" w:rsidDel="00000000" w:rsidP="00000000" w:rsidRDefault="00000000" w:rsidRPr="00000000" w14:paraId="0000001C">
      <w:pPr>
        <w:rPr/>
      </w:pPr>
      <w:r w:rsidDel="00000000" w:rsidR="00000000" w:rsidRPr="00000000">
        <w:rPr>
          <w:rtl w:val="0"/>
        </w:rPr>
        <w:t xml:space="preserve">O modo de decisão do Conselho Executivo é, em grande medida, consensual tanto no plano formal quanto no informal. Embora o Conselho possa votar, o FMI reconhece que ele normalmente decide por consenso e recorre a votos formais apenas ocasionalmente.  Isso se conecta diretamente a mecanismos de governança informal: o Fundo documenta que, desde 1946, o presidente do Conselho (“</w:t>
      </w:r>
      <w:r w:rsidDel="00000000" w:rsidR="00000000" w:rsidRPr="00000000">
        <w:rPr>
          <w:i w:val="1"/>
          <w:iCs w:val="1"/>
          <w:rtl w:val="0"/>
        </w:rPr>
        <w:t xml:space="preserve">chairman</w:t>
      </w:r>
      <w:r w:rsidDel="00000000" w:rsidR="00000000" w:rsidRPr="00000000">
        <w:rPr>
          <w:rtl w:val="0"/>
        </w:rPr>
        <w:t xml:space="preserve">”) é encarregado de apurar a agenda das reuniões (“</w:t>
      </w:r>
      <w:r w:rsidDel="00000000" w:rsidR="00000000" w:rsidRPr="00000000">
        <w:rPr>
          <w:i w:val="1"/>
          <w:iCs w:val="1"/>
          <w:rtl w:val="0"/>
        </w:rPr>
        <w:t xml:space="preserve">sense of the meeting</w:t>
      </w:r>
      <w:r w:rsidDel="00000000" w:rsidR="00000000" w:rsidRPr="00000000">
        <w:rPr>
          <w:rtl w:val="0"/>
        </w:rPr>
        <w:t xml:space="preserve">”), em vez de colocar matérias rotineiramente em votação; muitas vezes, a decisão do Conselho é constituída pelas próprias atas dessas reuniões, sem necessidade de deliberação formal. </w:t>
      </w:r>
    </w:p>
    <w:p w:rsidR="00000000" w:rsidDel="00000000" w:rsidP="00000000" w:rsidRDefault="00000000" w:rsidRPr="00000000" w14:paraId="0000001D">
      <w:pPr>
        <w:rPr/>
      </w:pPr>
      <w:r w:rsidDel="00000000" w:rsidR="00000000" w:rsidRPr="00000000">
        <w:rPr>
          <w:rtl w:val="0"/>
        </w:rPr>
        <w:t xml:space="preserve">Muito relevante para a visibilidade pública e para a discussão de alegada (falta de) neutralidade no processo decisório do Fundo é a informação de que, no âmbito do Conselho Executivo, cada diretor executivo possui poder de voto proporcional ao tamanho da economia que representa (Ansong, 2018). Assim, a governança do Fundo baseia-se no sistema de cotas, subscritas no momento da adesão. Em termos institucionais, o Artigo XII do Acordo explicita que o poder de voto total de cada membro resulta da soma dos votos básicos e dos votos baseados em quota (um voto por cada 100 mil DES de quota), preservando uma camada de igualdade formal mínima e outra de proporcionalidade econômica International Monetary Fund, 2020).  Essa engenharia conecta três dimensões — contribuição financeira, influência decisória e capacidade de acesso a empréstimos — o que faz das revisões de quotas um núcleo recorrente de disputa política no interior do regime (Ansong, 2018). </w:t>
      </w:r>
    </w:p>
    <w:p w:rsidR="00000000" w:rsidDel="00000000" w:rsidP="00000000" w:rsidRDefault="00000000" w:rsidRPr="00000000" w14:paraId="0000001E">
      <w:pPr>
        <w:rPr/>
      </w:pPr>
      <w:r w:rsidDel="00000000" w:rsidR="00000000" w:rsidRPr="00000000">
        <w:rPr>
          <w:rtl w:val="0"/>
        </w:rPr>
        <w:t xml:space="preserve">Segundo a tabela oficial de “Executive Directors and Voting Power” (atualizada em 2 fev. 2026), os Estados Unidos detêm 831.394 votos, equivalentes a 16,49% do total; Japão, 6,14%; China, 6,08%; Alemanha, 5,31%; França e Reino Unido, 4,03% cada; e o Brasil, 2,22%.  Já a tabela de “Members’ Quotas and Voting Power” (atualizada em 29 jan. 2026) indica que a quota dos EUA corresponde a 17,42% do total (em DES), enquanto sua participação em votos permanece em 16,49%; isto ilustra como “quota” e “votos” se relacionam, mas não são idênticos.</w:t>
      </w:r>
    </w:p>
    <w:p w:rsidR="00000000" w:rsidDel="00000000" w:rsidP="00000000" w:rsidRDefault="00000000" w:rsidRPr="00000000" w14:paraId="0000001F">
      <w:pPr>
        <w:rPr/>
      </w:pPr>
      <w:r w:rsidDel="00000000" w:rsidR="00000000" w:rsidRPr="00000000">
        <w:rPr>
          <w:rtl w:val="0"/>
        </w:rPr>
        <w:t xml:space="preserve">Com isso, ao deter cerca de 17% dos votos, os EUA têm, </w:t>
      </w:r>
      <w:r w:rsidDel="00000000" w:rsidR="00000000" w:rsidRPr="00000000">
        <w:rPr>
          <w:i w:val="1"/>
          <w:iCs w:val="1"/>
          <w:rtl w:val="0"/>
        </w:rPr>
        <w:t xml:space="preserve">de facto</w:t>
      </w:r>
      <w:r w:rsidDel="00000000" w:rsidR="00000000" w:rsidRPr="00000000">
        <w:rPr>
          <w:rtl w:val="0"/>
        </w:rPr>
        <w:t xml:space="preserve">, um poder de veto sobre decisões que exijam maioria de 85% (Dreher e Jensen, 2007, p. 107; Ansong, 2018). Do ponto de vista empírico, qualquer decisão que exija 85% de maioria poderia ser bloqueada unilateralmente pelo país. O G7, por sua vez, detém 38% dos votos e é o único grupo com assentos indicados diretamente para o Conselho Executivo, sem eleição (Breen, 2013). </w:t>
      </w:r>
    </w:p>
    <w:p w:rsidR="00000000" w:rsidDel="00000000" w:rsidP="00000000" w:rsidRDefault="00000000" w:rsidRPr="00000000" w14:paraId="00000020">
      <w:pPr>
        <w:rPr/>
      </w:pPr>
      <w:r w:rsidDel="00000000" w:rsidR="00000000" w:rsidRPr="00000000">
        <w:rPr>
          <w:rtl w:val="0"/>
        </w:rPr>
        <w:t xml:space="preserve">Assim, EUA, Reino Unido, França e Alemanha, na estrutura de governança atual do FMI, não precisam passar por processo eleitoral e, juntos, possuem poder de veto sobre decisões que exijam maioria especial de 70% — como mudanças nos Artigos do Acordo ou em regras institucionais relevantes (Breen, 2013, p. 45). Essas potências também exercem forte influência sobre o Comitê Monetário e Financeiro Internacional (Breen, 2013). Além disso, como os direitos de voto são ponderados pelo poder econômico, 161 dos então 188 membros delegam seus votos a diretores executivos de outros países. Embora os Artigos do Acordo determinem independência decisória, na prática, esses diretores seguem orientações dos governos que os nomeiam, sobretudo dos Ministérios da Fazenda (Breen, 2013). </w:t>
      </w:r>
    </w:p>
    <w:p w:rsidR="00000000" w:rsidDel="00000000" w:rsidP="00000000" w:rsidRDefault="00000000" w:rsidRPr="00000000" w14:paraId="00000021">
      <w:pPr>
        <w:rPr/>
      </w:pPr>
      <w:r w:rsidDel="00000000" w:rsidR="00000000" w:rsidRPr="00000000">
        <w:rPr>
          <w:rtl w:val="0"/>
        </w:rPr>
        <w:t xml:space="preserve">Soma-se a isso o fato de o Comitê Monetário e Financeiro Internacional (IMFC) — cuja composição espelha a do Conselho Executivo — reunir ministros e autoridades de alto escalão e operar por consenso, sem votos formais, mas com capacidade de emitir orientação estratégica ao Fundo.  O próprio FMI reconhece que, embora o IMFC não tenha poder formal decisório, opera, na prática, como instrumento-chave de direção estratégica do Fundo, ao emitir comunicados que orientam o programa de trabalho semestral.  Assim, nenhum diretor-gerente pode tomar decisões de grande impacto sem o aval dos países que ocupam as cadeiras do Comitê (Swedberg, 1986; Lesage et al., 2013).</w:t>
      </w:r>
    </w:p>
    <w:p w:rsidR="00000000" w:rsidDel="00000000" w:rsidP="00000000" w:rsidRDefault="00000000" w:rsidRPr="00000000" w14:paraId="00000022">
      <w:pPr>
        <w:rPr/>
      </w:pPr>
      <w:r w:rsidDel="00000000" w:rsidR="00000000" w:rsidRPr="00000000">
        <w:rPr>
          <w:rtl w:val="0"/>
        </w:rPr>
        <w:t xml:space="preserve"> No arranjo contemporâneo, essa dinâmica permanece visível: a tabela do Conselho Executivo lista diretores que votam em nome de grupos agregados (reunindo muitos países), enquanto alguns membros com grande quota dispõem de cadeiras “de país único”, com voto próprio e alta capacidade de agenda.  Para a análise política, isso produz assimetrias adicionais: (i) países menores enfrentam custos de coordenação (formação de posição comum), (ii) dispõem de menos capacidade de “monitorar” e influenciar a produção de documentos técnicos e drafts, e (iii) acabam por atuar com menor previsibilidade e menor capacidade de ameaça crível em negociações — sobretudo quando o Board decide por consenso</w:t>
      </w:r>
    </w:p>
    <w:p w:rsidR="00000000" w:rsidDel="00000000" w:rsidP="00000000" w:rsidRDefault="00000000" w:rsidRPr="00000000" w14:paraId="00000023">
      <w:pPr>
        <w:rPr/>
      </w:pPr>
      <w:r w:rsidDel="00000000" w:rsidR="00000000" w:rsidRPr="00000000">
        <w:rPr>
          <w:rtl w:val="0"/>
        </w:rPr>
        <w:t xml:space="preserve">A governança do Fundo é, portanto, um exemplo de governança em múltiplas camadas: o </w:t>
      </w:r>
      <w:r w:rsidDel="00000000" w:rsidR="00000000" w:rsidRPr="00000000">
        <w:rPr>
          <w:i w:val="1"/>
          <w:iCs w:val="1"/>
          <w:rtl w:val="0"/>
        </w:rPr>
        <w:t xml:space="preserve">locus</w:t>
      </w:r>
      <w:r w:rsidDel="00000000" w:rsidR="00000000" w:rsidRPr="00000000">
        <w:rPr>
          <w:rtl w:val="0"/>
        </w:rPr>
        <w:t xml:space="preserve"> da decisão formal está no Conselho Executivo, mas a construção de preferências e o “travamento” de diretrizes podem ocorrer em espaços ministeriais e clubes informais (G7/G20), que moldam o espaço de possibilidades no qual o Conselho Executivo “encontra” o consenso. </w:t>
      </w:r>
    </w:p>
    <w:p w:rsidR="00000000" w:rsidDel="00000000" w:rsidP="00000000" w:rsidRDefault="00000000" w:rsidRPr="00000000" w14:paraId="00000024">
      <w:pPr>
        <w:rPr/>
      </w:pPr>
      <w:r w:rsidDel="00000000" w:rsidR="00000000" w:rsidRPr="00000000">
        <w:rPr>
          <w:rtl w:val="0"/>
        </w:rPr>
        <w:t xml:space="preserve">Assim, conquanto o Artigo XII 4(c) estabeleça que o diretor-gerente e a equipe devem sua lealdade exclusivamente ao FMI, devendo agir com caráter internacional e evitando influências externas — princípio interpretado como expressão de neutralidade decisória (INTERNATIONAL MONETARY FUND, 2020; Breen, 2013) –, a própria estrutura de governança do Fundo representa óbice ao cumprimento de tal princípio, posto que não elimina os efeitos da estrutura de incentivos, da dependência de recursos, do controle da agenda e das assimetrias de informação (Barnett; Finnemore, 2004; Hawkins et al., 2006; Stone, 2011).</w:t>
      </w:r>
    </w:p>
    <w:p w:rsidR="00000000" w:rsidDel="00000000" w:rsidP="00000000" w:rsidRDefault="00000000" w:rsidRPr="00000000" w14:paraId="00000025">
      <w:pPr>
        <w:rPr/>
      </w:pPr>
      <w:r w:rsidDel="00000000" w:rsidR="00000000" w:rsidRPr="00000000">
        <w:rPr>
          <w:rtl w:val="0"/>
        </w:rPr>
        <w:t xml:space="preserve">Nesse sentido, a combinação de uma arquitetura institucional que incorpora (i) requisitos de supermaiorias decisórias, (ii) forte controle de agenda por parte de atores centrais, (iii) um sistema de votos ponderados e (iv) práticas decisórias baseadas em consenso — que, em arenas com distribuição assimétrica de poder, frequentemente antecipam o resultado provável de uma votação formal — produz um arranjo no qual Estados com maior peso relativo no Conselho Executivo e no IMFC exercem influência desproporcional. Assim, países mais bem representados, em especial os membros do G7 (Estados Unidos, Reino Unido, França, Alemanha, Canadá, Itália e Japão), tendem a moldar de maneira decisiva a definição do tamanho dos empréstimos, as condicionalidades associadas, o grau de rigor na implementação e monitoramento dos programas, bem como outras decisões centrais do Fundo  (Heinzel et al., 2021; Woods e Lombardi, 2006; Dreher et al., 2015; Swedberg, 1986; Nelson, 2014; Kentikelenis e Babb, 2019; Breen, 2013; Thacker, 1999; Pahuja, 2011, p. 229). </w:t>
      </w:r>
    </w:p>
    <w:p w:rsidR="00000000" w:rsidDel="00000000" w:rsidP="00000000" w:rsidRDefault="00000000" w:rsidRPr="00000000" w14:paraId="00000026">
      <w:pPr>
        <w:rPr/>
      </w:pPr>
      <w:r w:rsidDel="00000000" w:rsidR="00000000" w:rsidRPr="00000000">
        <w:rPr>
          <w:rtl w:val="0"/>
        </w:rPr>
        <w:t xml:space="preserve">Esse arranjo institucional, em que poucos atores exercem capacidade de veto e de controle da agenda, não se limita à definição de procedimentos internos: ele condiciona a orientação normativa e operacional da instituição. A arquitetura de poder analisada nesta seção não é, portanto, um pano de fundo neutro para a ação do FMI; ao contrário, constitui o mecanismo que estrutura sua atuação externa, especialmente no que diz respeito aos instrumentos de financiamento e às condições associadas a eles. É precisamente no domínio das operações financeiras — em particular, nos programas de empréstimos — que os efeitos dessa distribuição assimétrica de poder se tornam mais visíveis. Nesse sentido, passa-se agora a examinar a questão da condicionalidade imposta aos empréstimos do FMI, sob a perspectiva da alegada neutralidade do Fundo. </w:t>
      </w:r>
    </w:p>
    <w:p w:rsidR="00000000" w:rsidDel="00000000" w:rsidP="00000000" w:rsidRDefault="00000000" w:rsidRPr="00000000" w14:paraId="00000027">
      <w:pPr>
        <w:jc w:val="left"/>
        <w:rPr>
          <w:b w:val="1"/>
          <w:bCs w:val="1"/>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b w:val="1"/>
          <w:bCs w:val="1"/>
          <w:rtl w:val="0"/>
        </w:rPr>
        <w:t xml:space="preserve">III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A IMPOSIÇÃO DE CONDICIONALIDA</w:t>
      </w:r>
      <w:r w:rsidDel="00000000" w:rsidR="00000000" w:rsidRPr="00000000">
        <w:rPr>
          <w:b w:val="1"/>
          <w:bCs w:val="1"/>
          <w:rtl w:val="0"/>
        </w:rPr>
        <w:t xml:space="preserve">DE COMO MECANISMO DE REORIENTAÇÃO ECONÔMICA</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A partir da década de 1980, quando o FMI passou por uma reinterpretação informal de seu mandato e viu sua ação deslocar-se da estabilização cambial para a promoção de reformas estruturais, a condicionalidade tornou-se o principal canal por meio do qual as preferências dos grandes acionistas e do staff passaram a reverberar sobre os países devedores. O Plano Baker marcou esse ponto de inflexão ao reorientar o papel do Fundo na arquitetura da dívida e ao incentivar sua atuação como agente de reestruturação e de ajuste econômico. </w:t>
      </w:r>
    </w:p>
    <w:p w:rsidR="00000000" w:rsidDel="00000000" w:rsidP="00000000" w:rsidRDefault="00000000" w:rsidRPr="00000000" w14:paraId="0000002B">
      <w:pPr>
        <w:rPr/>
      </w:pPr>
      <w:r w:rsidDel="00000000" w:rsidR="00000000" w:rsidRPr="00000000">
        <w:rPr>
          <w:rtl w:val="0"/>
        </w:rPr>
        <w:t xml:space="preserve">No período pós-Plano Baker, o principal objetivo organizacional do FMI passou a ser fomentar crescimento econômico liderado pelo mercado, pressionando países tomadores a adotarem políticas de liberalização, desregulamentação e privatização por meio de programas de ajuste estrutural (Kentikelenis e Babb, 2019). Esses programas são aplicados como condições para concessão de empréstimos. Como os desembolsos são feitos em parcelas, o cumprimento das condições é verificado não apenas na aprovação inicial, mas também antes de cada desembolso (Dreher et al., 2015), o que acaba por gerar reformas de longo prazo em troca do financiamento.</w:t>
      </w:r>
    </w:p>
    <w:p w:rsidR="00000000" w:rsidDel="00000000" w:rsidP="00000000" w:rsidRDefault="00000000" w:rsidRPr="00000000" w14:paraId="0000002C">
      <w:pPr>
        <w:rPr/>
      </w:pPr>
      <w:r w:rsidDel="00000000" w:rsidR="00000000" w:rsidRPr="00000000">
        <w:rPr>
          <w:rtl w:val="0"/>
        </w:rPr>
        <w:t xml:space="preserve">A condicionalidade associada aos empréstimos do FMI passou, então, a operar de forma cada vez mais sistemática como instrumento de reorientação estrutural das economias devedoras, indo além de metas estritamente macroeconômicas. Em termos recorrentes, os programas passaram a combinar ajuste fiscal (cortes de gastos públicos, contenção salarial no setor público, redução ou eliminação de subsídios e reformas previdenciárias), aperto monetário e reformas no regime de política monetária (frequentemente com metas de agregados, elevação de juros e medidas para reforçar a autoridade do banco central), além de mudanças cambiais voltadas à correção de desequilíbrios externos (incluindo desvalorizações e flexibilização do regime cambial). </w:t>
      </w:r>
    </w:p>
    <w:p w:rsidR="00000000" w:rsidDel="00000000" w:rsidP="00000000" w:rsidRDefault="00000000" w:rsidRPr="00000000" w14:paraId="0000002D">
      <w:pPr>
        <w:rPr/>
      </w:pPr>
      <w:r w:rsidDel="00000000" w:rsidR="00000000" w:rsidRPr="00000000">
        <w:rPr>
          <w:rtl w:val="0"/>
        </w:rPr>
        <w:t xml:space="preserve">Ao lado dessas dimensões, proliferaram condições de natureza “estrutural”, como a liberalização comercial (redução tarifária e eliminação de barreiras), a liberalização financeira (desregulação e abertura gradual do sistema financeiro e, em alguns casos, medidas relacionadas à conta de capitais), privatizações e reformas voltadas à reconfiguração do Estado (reformas administrativas, reestruturação de empresas estatais e marcos regulatórios pró-mercado). A condicionalidade se tornou um canal privilegiado para a difusão de políticas de mercado e para a propagação e implementação de uma doutrina econômica, frequentemente com variações na severidade das medidas conforme a posição e os interesses de atores centrais na governança do Fundo (Woods, 2006; Kentikelenis; Babb, 2019; Dreher; Sturm; Vreeland, 2015; Stone, 2011; Nelson, 2014).</w:t>
      </w:r>
    </w:p>
    <w:p w:rsidR="00000000" w:rsidDel="00000000" w:rsidP="00000000" w:rsidRDefault="00000000" w:rsidRPr="00000000" w14:paraId="0000002E">
      <w:pPr>
        <w:rPr/>
      </w:pPr>
      <w:r w:rsidDel="00000000" w:rsidR="00000000" w:rsidRPr="00000000">
        <w:rPr>
          <w:rtl w:val="0"/>
        </w:rPr>
        <w:t xml:space="preserve">Nesse sentido, ainda que, segundo as diretrizes do Fundo, o desenho das condicionalidades deve considerar principalmente os fatores econômicos do país, a forma de imposição das medidas depende do Conselho Executivo. Com isso, enquanto países de baixa e média renda enfrentam exigências profundas, incluindo reformas intrusivas, para obter os empréstimos necessários, a imposição de tais condicionalidades não segue critério uniforme (Dreher et al., 2015; Breen, 2013). Observa-se, portanto, que a rigidez das condições varia entre países: pacotes para a Grécia — criticados por excesso de austeridade — foram menos rígidos do que os da Tailândia e da Indonésia (Dreher et al., 2015).</w:t>
      </w:r>
    </w:p>
    <w:p w:rsidR="00000000" w:rsidDel="00000000" w:rsidP="00000000" w:rsidRDefault="00000000" w:rsidRPr="00000000" w14:paraId="0000002F">
      <w:pPr>
        <w:rPr/>
      </w:pPr>
      <w:r w:rsidDel="00000000" w:rsidR="00000000" w:rsidRPr="00000000">
        <w:rPr>
          <w:rtl w:val="0"/>
        </w:rPr>
        <w:t xml:space="preserve">Além disso, governos do G7 usam sua influência para assegurar empréstimos mais generosos e com menos condições a países em que têm fortes interesses domésticos (Breen, 2013; Dreher et al., 2015). Empréstimos a países com alta exposição dos bancos comerciais dos EUA tendem a apresentar menor condicionalidade (Breen, 2013). Há também evidências de que países com formuladores de políticas alinhados à visão neoliberal predominante no FMI recebem tratamento preferencial (Nelson, 2014). Em Gana, no programa de 1983, as condições exigiam que o empréstimo fosse depositado em um banco com sede no Reino Unido, de onde seria transferido diretamente para pagamento de um empréstimo de curto prazo (Breen, 2013).</w:t>
      </w:r>
    </w:p>
    <w:p w:rsidR="00000000" w:rsidDel="00000000" w:rsidP="00000000" w:rsidRDefault="00000000" w:rsidRPr="00000000" w14:paraId="00000030">
      <w:pPr>
        <w:rPr/>
      </w:pPr>
      <w:r w:rsidDel="00000000" w:rsidR="00000000" w:rsidRPr="00000000">
        <w:rPr>
          <w:rtl w:val="0"/>
        </w:rPr>
        <w:t xml:space="preserve">A própria crescente complexidade da condicionalidade — expressa tanto na multiplicação de metas, benchmarks e ações prévias quanto na ampliação do escopo temático dos programas — tende a gerar ambiguidade interpretativa e, com ela, margens mais amplas de discricionariedade burocrática (Best, 2012). Best demonstra que a incerteza, a complexidade e a diversidade de casos permitem ao FMI adotar interpretações mais ambíguas, ampliando a discricionariedade de sua equipe (Best, 2012, p. 686). Essa constatação é central para o debate sobre a (falta de) neutralidade do Fundo: quanto mais as condições se tornam complexas e abertas a múltiplas leituras (por exemplo, ao dependerem de julgamentos sobre “credibilidade” de reformas, “apropriação” doméstica, “qualidade” do ajuste ou “marcos estruturais” cuja mensuração envolve escolhas), mais o processo decisório se desloca de regras claras para avaliações técnico-políticas, nas quais a fronteira entre “expertise econômica” e “preferências normativas” se torna porosa. </w:t>
      </w:r>
    </w:p>
    <w:p w:rsidR="00000000" w:rsidDel="00000000" w:rsidP="00000000" w:rsidRDefault="00000000" w:rsidRPr="00000000" w14:paraId="00000031">
      <w:pPr>
        <w:rPr/>
      </w:pPr>
      <w:r w:rsidDel="00000000" w:rsidR="00000000" w:rsidRPr="00000000">
        <w:rPr>
          <w:rtl w:val="0"/>
        </w:rPr>
        <w:t xml:space="preserve">Nesse ínterim, a neutralidade formal alegada pelo Fundo não elimina — e pode até obscurecer — a dimensão política embutida na definição do que se entende por cumprimento, progresso, risco ou “</w:t>
      </w:r>
      <w:r w:rsidDel="00000000" w:rsidR="00000000" w:rsidRPr="00000000">
        <w:rPr>
          <w:i w:val="1"/>
          <w:iCs w:val="1"/>
          <w:rtl w:val="0"/>
        </w:rPr>
        <w:t xml:space="preserve">macroeconomic soundness</w:t>
      </w:r>
      <w:r w:rsidDel="00000000" w:rsidR="00000000" w:rsidRPr="00000000">
        <w:rPr>
          <w:rtl w:val="0"/>
        </w:rPr>
        <w:t xml:space="preserve">” (Barnett; Finnemore, 2004; Hawkins et al., 2006; Stone, 2011). </w:t>
      </w:r>
    </w:p>
    <w:p w:rsidR="00000000" w:rsidDel="00000000" w:rsidP="00000000" w:rsidRDefault="00000000" w:rsidRPr="00000000" w14:paraId="00000032">
      <w:pPr>
        <w:rPr/>
      </w:pPr>
      <w:r w:rsidDel="00000000" w:rsidR="00000000" w:rsidRPr="00000000">
        <w:rPr>
          <w:rtl w:val="0"/>
        </w:rPr>
        <w:t xml:space="preserve">Além disso, a falta de precisão técnica no desenho e na imposição da condicionalidade interage com aspectos específicos da governança decisória do FMI. Em um ambiente com votos ponderados, supermaiorias e deliberação frequentemente guiada por agendas de reunião, a capacidade de transformar interpretações técnicas em decisões operacionais tende a favorecer atores com maior poder de agenda e maior influência no Conselho Executivo. Isso reforça, na prática, a crítica de que as condicionalidades não são apenas instrumentos econômicos, mas também mecanismos de governo à distância que refletem assimetrias estruturais de poder (Woods, 2006; Kentikelenis e Babb, 2019; Nelson, 2014; Dreher et al., 2015). </w:t>
      </w:r>
    </w:p>
    <w:p w:rsidR="00000000" w:rsidDel="00000000" w:rsidP="00000000" w:rsidRDefault="00000000" w:rsidRPr="00000000" w14:paraId="00000033">
      <w:pPr>
        <w:rPr/>
      </w:pPr>
      <w:r w:rsidDel="00000000" w:rsidR="00000000" w:rsidRPr="00000000">
        <w:rPr>
          <w:rtl w:val="0"/>
        </w:rPr>
        <w:t xml:space="preserve">Em outras palavras, a complexificação das condições pós-Plano Baker não é apenas uma característica administrativa dos programas de empréstimo geridos pelo Fundo. Muito mais, ela constitui um recurso institucional que permite calibrar, caso a caso, a aplicação das regras, sustentar decisões por meio de linguagem tecnocrática e, ao mesmo tempo, acomodar pressões políticas e coalizões dominantes (Best, 2012, p. 686; Stone, 2011; Barnett; Finnemore, 2004).</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ind w:left="0" w:firstLine="0"/>
        <w:rPr>
          <w:b w:val="1"/>
          <w:bCs w:val="1"/>
        </w:rPr>
      </w:pPr>
      <w:r w:rsidDel="00000000" w:rsidR="00000000" w:rsidRPr="00000000">
        <w:rPr>
          <w:b w:val="1"/>
          <w:bCs w:val="1"/>
          <w:rtl w:val="0"/>
        </w:rPr>
        <w:t xml:space="preserve">IV - CONDICIONALIDADE E CRÉDITO DO FMI COMO CANAIS DE INFLUÊNCIA GEOPOLÍTICA DOS GRANDES ACIONISTAS NAS NAÇÕES UNIDAS</w:t>
      </w:r>
    </w:p>
    <w:p w:rsidR="00000000" w:rsidDel="00000000" w:rsidP="00000000" w:rsidRDefault="00000000" w:rsidRPr="00000000" w14:paraId="00000036">
      <w:pPr>
        <w:ind w:left="0" w:firstLine="0"/>
        <w:rPr>
          <w:b w:val="1"/>
          <w:bCs w:val="1"/>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A seção anterior demonstrou que, a partir da década de 1980, os empréstimos do FMI passaram a operar como um dispositivo de governança que ultrapassa a dimensão estritamente técnica da estabilização macroeconômica. Ao se converter em um mecanismo de reorientação estrutural — com metas, benchmarks e exigências que variam quanto ao escopo, à severidade e à </w:t>
      </w:r>
      <w:r w:rsidDel="00000000" w:rsidR="00000000" w:rsidRPr="00000000">
        <w:rPr>
          <w:i w:val="1"/>
          <w:iCs w:val="1"/>
          <w:rtl w:val="0"/>
        </w:rPr>
        <w:t xml:space="preserve">enforcement</w:t>
      </w:r>
      <w:r w:rsidDel="00000000" w:rsidR="00000000" w:rsidRPr="00000000">
        <w:rPr>
          <w:rtl w:val="0"/>
        </w:rPr>
        <w:t xml:space="preserve"> — a condicionalidade se torna evidência empírica central do argumento do artigo: a governança do Fundo não é politicamente neutra. Em vez de constituir um conjunto uniforme de regras econômicas, a condicionalidade revela-se um canal por meio do qual preferências, assimetrias e relações de força são traduzidas em compromissos domésticos concretos, frequentemente com impactos distributivos e institucionais profundos. </w:t>
      </w:r>
    </w:p>
    <w:p w:rsidR="00000000" w:rsidDel="00000000" w:rsidP="00000000" w:rsidRDefault="00000000" w:rsidRPr="00000000" w14:paraId="00000038">
      <w:pPr>
        <w:rPr/>
      </w:pPr>
      <w:r w:rsidDel="00000000" w:rsidR="00000000" w:rsidRPr="00000000">
        <w:rPr>
          <w:rtl w:val="0"/>
        </w:rPr>
        <w:t xml:space="preserve">Assim, a discussão sobre a condicionalidade mostrou que a neutralidade do FMI não pode ser presumida a partir de sua retórica tecnocrática, pois as próprias práticas do Fundo evidenciam padrões de seletividade e discricionariedade incompatíveis com a aplicação estritamente impessoal e uniforme de critérios econômicos. </w:t>
      </w:r>
    </w:p>
    <w:p w:rsidR="00000000" w:rsidDel="00000000" w:rsidP="00000000" w:rsidRDefault="00000000" w:rsidRPr="00000000" w14:paraId="00000039">
      <w:pPr>
        <w:rPr/>
      </w:pPr>
      <w:r w:rsidDel="00000000" w:rsidR="00000000" w:rsidRPr="00000000">
        <w:rPr>
          <w:rtl w:val="0"/>
        </w:rPr>
        <w:t xml:space="preserve">Além do uso político da condicionalidade, há robustas evidências econômicas de que as decisões do FMI sobre empréstimos são fortemente influenciadas pelo papel dos países tomadores nos órgãos “políticos” das Nações Unidas, especialmente o CSNU e a AGNU. Embora o FMI não reivindique autoridade sobre temas tratados por esses órgãos, sua atuação parece sobrepor-se à deles sem conflito, o que é estratégico para grandes potências, que operam com maior facilidade em contextos complexos, consolidando vantagens em relação a países menos poderosos.</w:t>
      </w:r>
    </w:p>
    <w:p w:rsidR="00000000" w:rsidDel="00000000" w:rsidP="00000000" w:rsidRDefault="00000000" w:rsidRPr="00000000" w14:paraId="0000003A">
      <w:pPr>
        <w:rPr/>
      </w:pPr>
      <w:r w:rsidDel="00000000" w:rsidR="00000000" w:rsidRPr="00000000">
        <w:rPr>
          <w:rtl w:val="0"/>
        </w:rPr>
        <w:t xml:space="preserve">A análise quantitativa de Dreher, Sturm e Vreeland sustenta que os incentivos político-diplomáticos associados à ONU relacionam‑se com o acesso a recursos do FMI e, assim, podem ser explorados pelos principais acionistas do Fundo. Em particular, os autores argumentam que os Estados Unidos e as potências europeias dispõem de meios para influenciar o comportamento de votação de países do chamado “Terceiro Mundo” na ONU por meio de sua capacidade de influenciar decisões nas instituições de Bretton Woods, inclusive no FMI (Dreher et al., 2009, p. 752). Para testar essa hipótese, eles exploram a variação exógena decorrente da eleição rotativa de membros não permanentes do Conselho de Segurança, comparando o tratamento concedido pelo FMI a países em anos em que ocupam assento temporário e em anos em que não o ocupam. Com base nessa estratégia e na análise da composição do CSNU, Dreher et al. concluem que, quando um membro temporário do Conselho de Segurança solicita um programa/apoio do FMI, suas chances de obtê‑lo aumentam, precisamente porque a decisão passa pelo Conselho Executivo, onde se concentram os maiores acionistas e, portanto, os atores com maior capacidade de influência sobre a alocação de crédito do Fundo (Dreher et al., 2009, p. 743).</w:t>
      </w:r>
    </w:p>
    <w:p w:rsidR="00000000" w:rsidDel="00000000" w:rsidP="00000000" w:rsidRDefault="00000000" w:rsidRPr="00000000" w14:paraId="0000003B">
      <w:pPr>
        <w:rPr/>
      </w:pPr>
      <w:r w:rsidDel="00000000" w:rsidR="00000000" w:rsidRPr="00000000">
        <w:rPr>
          <w:rtl w:val="0"/>
        </w:rPr>
        <w:t xml:space="preserve">Membros temporários do CSNU receberão, de acordo com os dados levantados, tratamento mais favorável em programas do FMI, o que se reflete tanto na probabilidade de acesso ao financiamento quanto na calibragem das exigências impostas. Estima-se que países que ocupam assentos temporários no CSNU enfrentem cerca de 30% menos condicionalidades, o que corresponde, em termos substantivos, a aproximadamente 2,5 condições a menos quando comparados ao patamar médio observado para países não integrantes do CSNU no mesmo período (Dreher et al., 2015).  </w:t>
      </w:r>
    </w:p>
    <w:p w:rsidR="00000000" w:rsidDel="00000000" w:rsidP="00000000" w:rsidRDefault="00000000" w:rsidRPr="00000000" w14:paraId="0000003C">
      <w:pPr>
        <w:rPr/>
      </w:pPr>
      <w:r w:rsidDel="00000000" w:rsidR="00000000" w:rsidRPr="00000000">
        <w:rPr>
          <w:rtl w:val="0"/>
        </w:rPr>
        <w:t xml:space="preserve">Além de reduzir o número total de condições, a pertença temporária ao CSNU está associada à redução de instrumentos de condicionalidade particularmente intrusivos, como “ações prévias” (medidas exigidas antes da aprovação ou do desembolso) e critérios de desempenho posteriores, que funcionam como gatilhos para liberar parcelas do empréstimo e, portanto, elevam o poder de disciplinamento do Fundo ao longo da execução do programa (Dreher et al., 2015, p. 122).  A explicação proposta pelos autores é eminentemente política: ainda que os votos dos membros temporários não sejam decisivos para formar maioria, eles são estratégicos para conferir legitimidade às posições defendidas pelos membros permanentes, funcionando como uma forma de “endosso” de terceiros em decisões de alto custo reputacional; nesse quadro, o FMI aparece como um canal indireto por meio do qual acionistas centrais podem modular incentivos e obter cooperação no CSNU (Dreher et al., 2015). </w:t>
      </w:r>
    </w:p>
    <w:p w:rsidR="00000000" w:rsidDel="00000000" w:rsidP="00000000" w:rsidRDefault="00000000" w:rsidRPr="00000000" w14:paraId="0000003D">
      <w:pPr>
        <w:rPr/>
      </w:pPr>
      <w:r w:rsidDel="00000000" w:rsidR="00000000" w:rsidRPr="00000000">
        <w:rPr>
          <w:rtl w:val="0"/>
        </w:rPr>
        <w:t xml:space="preserve">Há também evidências de que a seletividade do FMI está relacionada a padrões de votação na AGNU, reforçando o argumento de que a instituição opera em interação com os objetivos geopolíticos dos principais acionistas. Dreher e Jensen investigam a condicionalidade como variável dependente (número de condições registradas em cartas de intenção) e utilizam, entre outras variáveis explicativas, a proximidade do padrão de votação do país com o dos EUA na AGNU, além de um indicador de proximidade das eleições no país tomador (Dreher e Jensen, 2007).  </w:t>
      </w:r>
    </w:p>
    <w:p w:rsidR="00000000" w:rsidDel="00000000" w:rsidP="00000000" w:rsidRDefault="00000000" w:rsidRPr="00000000" w14:paraId="0000003E">
      <w:pPr>
        <w:rPr/>
      </w:pPr>
      <w:r w:rsidDel="00000000" w:rsidR="00000000" w:rsidRPr="00000000">
        <w:rPr>
          <w:rtl w:val="0"/>
        </w:rPr>
        <w:t xml:space="preserve">Com base em um conjunto de 206 cartas de intenção relativas a 38 países entre abril de 1997 e fevereiro de 2003, os autores mostram que países mais alinhados aos EUA na AGNU tendem a receber condições menos severas, e que esse efeito é especialmente pronunciado no período imediatamente anterior às eleições, sugerindo que considerações políticas — tanto internacionais (alinhamento) quanto domésticas (ciclo eleitoral) — influenciam a severidade da condicionalidade (Dreher; Jensen, 2007). </w:t>
      </w:r>
    </w:p>
    <w:p w:rsidR="00000000" w:rsidDel="00000000" w:rsidP="00000000" w:rsidRDefault="00000000" w:rsidRPr="00000000" w14:paraId="0000003F">
      <w:pPr>
        <w:jc w:val="left"/>
        <w:rPr>
          <w:b w:val="1"/>
          <w:bCs w:val="1"/>
        </w:rPr>
      </w:pPr>
      <w:r w:rsidDel="00000000" w:rsidR="00000000" w:rsidRPr="00000000">
        <w:rPr>
          <w:rtl w:val="0"/>
        </w:rPr>
      </w:r>
    </w:p>
    <w:p w:rsidR="00000000" w:rsidDel="00000000" w:rsidP="00000000" w:rsidRDefault="00000000" w:rsidRPr="00000000" w14:paraId="00000040">
      <w:pPr>
        <w:ind w:left="0" w:firstLine="0"/>
        <w:jc w:val="left"/>
        <w:rPr/>
      </w:pPr>
      <w:r w:rsidDel="00000000" w:rsidR="00000000" w:rsidRPr="00000000">
        <w:rPr>
          <w:b w:val="1"/>
          <w:bCs w:val="1"/>
          <w:rtl w:val="0"/>
        </w:rPr>
        <w:t xml:space="preserve">V - CONSIDERAÇÕES FINAIS</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 análise desenvolvida ao longo deste artigo sugere que a alegada neutralidade do FMI, embora formalmente inscrita em seus Artigos do Acordo e reiterada em sua autodescrição institucional, não se sustenta quando confrontada com a trajetória histórica e a prática decisória do Fundo. Desde sua gênese, o FMI emergiu como resultado de uma disputa geopolítica na qual prevaleceu o desenho preferido pelos Estados Unidos, consolidando um arranjo institucional compatível com a primazia do dólar e com a assimetria de poder típica do pós-guerra. Essa marca fundacional não apenas estruturou as regras formais da organização, mas também criou condições para que, ao longo do tempo, mudanças substantivas no escopo de atuação do FMI fossem implementadas por mecanismos informais, sem revisão explícita de seus fundamentos. Assim, a distância entre a “neutralidade normativa” e a “política real” do Fundo não é um desvio ocasional, mas um elemento constitutivo de seu desenvolvimento histórico e de seu funcionamento.</w:t>
      </w:r>
    </w:p>
    <w:p w:rsidR="00000000" w:rsidDel="00000000" w:rsidP="00000000" w:rsidRDefault="00000000" w:rsidRPr="00000000" w14:paraId="00000043">
      <w:pPr>
        <w:rPr/>
      </w:pPr>
      <w:r w:rsidDel="00000000" w:rsidR="00000000" w:rsidRPr="00000000">
        <w:rPr>
          <w:rtl w:val="0"/>
        </w:rPr>
        <w:t xml:space="preserve">No plano institucional, o artigo mostrou que a governança decisória do FMI atua como um mecanismo estrutural de concentração de poder. O sistema de votos ponderados por quotas, somado aos requisitos de supermaiorias e ao funcionamento rotineiramente consensual do Conselho Executivo — em que o consenso tende a antecipar o resultado provável de uma votação formal — produz um ambiente decisório em que poucos atores dispõem de capacidade de veto e de controle efetivo da agenda. Essa arquitetura não é politicamente neutra: ela condiciona a formulação e a implementação das políticas do Fundo, favorecendo os interesses e a visão de mundo dos acionistas centrais e ampliando a discricionariedade do staff na interpretação e na operacionalização do mandato. Nesse contexto, o princípio de lealdade “exclusiva” do corpo técnico ao FMI, embora relevante como norma jurídica e retórica institucional, não neutraliza os efeitos de incentivos, dependência de recursos, assimetrias informacionais e mecanismos de governança informal, que moldam continuamente as escolhas do Fundo e a distribuição de custos e benefícios entre credores e devedores.</w:t>
      </w:r>
    </w:p>
    <w:p w:rsidR="00000000" w:rsidDel="00000000" w:rsidP="00000000" w:rsidRDefault="00000000" w:rsidRPr="00000000" w14:paraId="00000044">
      <w:pPr>
        <w:rPr/>
      </w:pPr>
      <w:r w:rsidDel="00000000" w:rsidR="00000000" w:rsidRPr="00000000">
        <w:rPr>
          <w:rtl w:val="0"/>
        </w:rPr>
        <w:t xml:space="preserve">Por fim, as duas evidências empíricas mobilizadas — a condicionalidade e a associação entre as decisões do FMI e os padrões de comportamento na ONU — reforçam a mesma conclusão por vias distintas e complementares. A condicionalidade mostrou-se um instrumento de governo à distância que, além de difundir reformas pró-mercado, variou em severidade e rigor conforme interesses estratégicos, coalizões dominantes e margens de discricionariedade abertas pela complexificação dos programas. Já a literatura econométrica sobre CSNU e AGNU indicou que o crédito do FMI e o desenho de condicionalidades podem funcionar como moeda de troca e como mecanismo de indução ao alinhamento político-diplomático, sugerindo que o Fundo se integra, na prática, a uma paisagem mais ampla de governança internacional na qual decisões econômicas e políticas se sobrepõem. Em síntese, o artigo sustenta que a falta de neutralidade do FMI não é apenas um problema de captura pontual, mas um produto sistemático de sua história, de sua arquitetura de governança e de seus instrumentos operacionais — o que impõe, como agenda de pesquisa e de debate público, a necessidade de maior transparência, responsabilização e reequilíbrio de voz e poder em sua estrutura decisória.</w:t>
      </w:r>
    </w:p>
    <w:p w:rsidR="00000000" w:rsidDel="00000000" w:rsidP="00000000" w:rsidRDefault="00000000" w:rsidRPr="00000000" w14:paraId="00000045">
      <w:pPr>
        <w:jc w:val="left"/>
        <w:rPr>
          <w:b w:val="1"/>
          <w:bCs w:val="1"/>
        </w:rPr>
      </w:pPr>
      <w:r w:rsidDel="00000000" w:rsidR="00000000" w:rsidRPr="00000000">
        <w:rPr>
          <w:rtl w:val="0"/>
        </w:rPr>
      </w:r>
    </w:p>
    <w:p w:rsidR="00000000" w:rsidDel="00000000" w:rsidP="00000000" w:rsidRDefault="00000000" w:rsidRPr="00000000" w14:paraId="00000046">
      <w:pPr>
        <w:ind w:left="0" w:firstLine="0"/>
        <w:jc w:val="left"/>
        <w:rPr>
          <w:b w:val="1"/>
          <w:bCs w:val="1"/>
        </w:rPr>
      </w:pPr>
      <w:r w:rsidDel="00000000" w:rsidR="00000000" w:rsidRPr="00000000">
        <w:rPr>
          <w:b w:val="1"/>
          <w:bCs w:val="1"/>
          <w:rtl w:val="0"/>
        </w:rPr>
        <w:t xml:space="preserve">REFERÊNCIAS</w:t>
      </w:r>
    </w:p>
    <w:p w:rsidR="00000000" w:rsidDel="00000000" w:rsidP="00000000" w:rsidRDefault="00000000" w:rsidRPr="00000000" w14:paraId="00000047">
      <w:pPr>
        <w:spacing w:before="240" w:lineRule="auto"/>
        <w:ind w:left="0" w:firstLine="0"/>
        <w:rPr/>
      </w:pPr>
      <w:r w:rsidDel="00000000" w:rsidR="00000000" w:rsidRPr="00000000">
        <w:rPr>
          <w:rtl w:val="0"/>
        </w:rPr>
        <w:t xml:space="preserve">ANGHIE, Antony. </w:t>
      </w:r>
      <w:r w:rsidDel="00000000" w:rsidR="00000000" w:rsidRPr="00000000">
        <w:rPr>
          <w:i w:val="1"/>
          <w:iCs w:val="1"/>
          <w:rtl w:val="0"/>
        </w:rPr>
        <w:t xml:space="preserve">Imperialism, sovereignty, and the making of international law</w:t>
      </w:r>
      <w:r w:rsidDel="00000000" w:rsidR="00000000" w:rsidRPr="00000000">
        <w:rPr>
          <w:rtl w:val="0"/>
        </w:rPr>
        <w:t xml:space="preserve">. Cambridge: Cambridge University Press, 2005.</w:t>
      </w:r>
    </w:p>
    <w:p w:rsidR="00000000" w:rsidDel="00000000" w:rsidP="00000000" w:rsidRDefault="00000000" w:rsidRPr="00000000" w14:paraId="00000048">
      <w:pPr>
        <w:spacing w:before="240" w:lineRule="auto"/>
        <w:ind w:left="0" w:firstLine="0"/>
        <w:rPr/>
      </w:pPr>
      <w:r w:rsidDel="00000000" w:rsidR="00000000" w:rsidRPr="00000000">
        <w:rPr>
          <w:rtl w:val="0"/>
        </w:rPr>
        <w:t xml:space="preserve">ANSONG, Abraham. Decision-making in the INTERNATIONAL MONETARY FUND: implications for sovereign equality of states. </w:t>
      </w:r>
      <w:r w:rsidDel="00000000" w:rsidR="00000000" w:rsidRPr="00000000">
        <w:rPr>
          <w:i w:val="1"/>
          <w:iCs w:val="1"/>
          <w:rtl w:val="0"/>
        </w:rPr>
        <w:t xml:space="preserve">SSRN</w:t>
      </w:r>
      <w:r w:rsidDel="00000000" w:rsidR="00000000" w:rsidRPr="00000000">
        <w:rPr>
          <w:rtl w:val="0"/>
        </w:rPr>
        <w:t xml:space="preserve">, p. 1–16, 2018. DOI: https://doi.org/10.2139/ssrn.3289151.</w:t>
      </w:r>
    </w:p>
    <w:p w:rsidR="00000000" w:rsidDel="00000000" w:rsidP="00000000" w:rsidRDefault="00000000" w:rsidRPr="00000000" w14:paraId="00000049">
      <w:pPr>
        <w:spacing w:before="240" w:lineRule="auto"/>
        <w:ind w:left="0" w:firstLine="0"/>
        <w:rPr/>
      </w:pPr>
      <w:r w:rsidDel="00000000" w:rsidR="00000000" w:rsidRPr="00000000">
        <w:rPr>
          <w:rtl w:val="0"/>
        </w:rPr>
        <w:t xml:space="preserve">BARNETT, Michael N.; FINNEMORE, Martha. </w:t>
      </w:r>
      <w:r w:rsidDel="00000000" w:rsidR="00000000" w:rsidRPr="00000000">
        <w:rPr>
          <w:i w:val="1"/>
          <w:iCs w:val="1"/>
          <w:rtl w:val="0"/>
        </w:rPr>
        <w:t xml:space="preserve">The politics, power, and pathologies of international organizations.</w:t>
      </w:r>
      <w:r w:rsidDel="00000000" w:rsidR="00000000" w:rsidRPr="00000000">
        <w:rPr>
          <w:rtl w:val="0"/>
        </w:rPr>
        <w:t xml:space="preserve"> International Organization, Cambridge, v. 53, n. 4, p. 699–732, 1999.</w:t>
      </w:r>
    </w:p>
    <w:p w:rsidR="00000000" w:rsidDel="00000000" w:rsidP="00000000" w:rsidRDefault="00000000" w:rsidRPr="00000000" w14:paraId="0000004A">
      <w:pPr>
        <w:spacing w:before="240" w:lineRule="auto"/>
        <w:ind w:left="0" w:firstLine="0"/>
        <w:rPr/>
      </w:pPr>
      <w:r w:rsidDel="00000000" w:rsidR="00000000" w:rsidRPr="00000000">
        <w:rPr>
          <w:rtl w:val="0"/>
        </w:rPr>
        <w:t xml:space="preserve">BEST, Jacqueline. Ambiguity and uncertainty in international organizations: a history of debating IMF conditionality. </w:t>
      </w:r>
      <w:r w:rsidDel="00000000" w:rsidR="00000000" w:rsidRPr="00000000">
        <w:rPr>
          <w:i w:val="1"/>
          <w:iCs w:val="1"/>
          <w:rtl w:val="0"/>
        </w:rPr>
        <w:t xml:space="preserve">International Studies Quarterly</w:t>
      </w:r>
      <w:r w:rsidDel="00000000" w:rsidR="00000000" w:rsidRPr="00000000">
        <w:rPr>
          <w:rtl w:val="0"/>
        </w:rPr>
        <w:t xml:space="preserve">, v. 56, n. 4, p. 674–688, 2012. DOI: https://doi.org/10.1111/j.1468-2478.2012.00744.x.</w:t>
      </w:r>
    </w:p>
    <w:p w:rsidR="00000000" w:rsidDel="00000000" w:rsidP="00000000" w:rsidRDefault="00000000" w:rsidRPr="00000000" w14:paraId="0000004B">
      <w:pPr>
        <w:spacing w:before="240" w:lineRule="auto"/>
        <w:ind w:left="0" w:firstLine="0"/>
        <w:rPr/>
      </w:pPr>
      <w:r w:rsidDel="00000000" w:rsidR="00000000" w:rsidRPr="00000000">
        <w:rPr>
          <w:rtl w:val="0"/>
        </w:rPr>
        <w:t xml:space="preserve">BREEN, Michael. </w:t>
      </w:r>
      <w:r w:rsidDel="00000000" w:rsidR="00000000" w:rsidRPr="00000000">
        <w:rPr>
          <w:i w:val="1"/>
          <w:iCs w:val="1"/>
          <w:rtl w:val="0"/>
        </w:rPr>
        <w:t xml:space="preserve">The politics of IMF lending</w:t>
      </w:r>
      <w:r w:rsidDel="00000000" w:rsidR="00000000" w:rsidRPr="00000000">
        <w:rPr>
          <w:rtl w:val="0"/>
        </w:rPr>
        <w:t xml:space="preserve">. London: Palgrave Macmillan, 2013. DOI: https://doi.org/10.1057/9781137263810.</w:t>
      </w:r>
    </w:p>
    <w:p w:rsidR="00000000" w:rsidDel="00000000" w:rsidP="00000000" w:rsidRDefault="00000000" w:rsidRPr="00000000" w14:paraId="0000004C">
      <w:pPr>
        <w:spacing w:before="240" w:lineRule="auto"/>
        <w:ind w:left="0" w:firstLine="0"/>
        <w:rPr/>
      </w:pPr>
      <w:r w:rsidDel="00000000" w:rsidR="00000000" w:rsidRPr="00000000">
        <w:rPr>
          <w:rtl w:val="0"/>
        </w:rPr>
        <w:t xml:space="preserve">BOUGHTON, James M. </w:t>
      </w:r>
      <w:r w:rsidDel="00000000" w:rsidR="00000000" w:rsidRPr="00000000">
        <w:rPr>
          <w:i w:val="1"/>
          <w:iCs w:val="1"/>
          <w:rtl w:val="0"/>
        </w:rPr>
        <w:t xml:space="preserve">Silent Revolution: The INTERNATIONAL MONETARY FUND 1979–1989</w:t>
      </w:r>
      <w:r w:rsidDel="00000000" w:rsidR="00000000" w:rsidRPr="00000000">
        <w:rPr>
          <w:rtl w:val="0"/>
        </w:rPr>
        <w:t xml:space="preserve">. Washington, D.C.: INTERNATIONAL MONETARY FUND, 2001.</w:t>
      </w:r>
    </w:p>
    <w:p w:rsidR="00000000" w:rsidDel="00000000" w:rsidP="00000000" w:rsidRDefault="00000000" w:rsidRPr="00000000" w14:paraId="0000004D">
      <w:pPr>
        <w:spacing w:before="240" w:lineRule="auto"/>
        <w:ind w:left="0" w:firstLine="0"/>
        <w:rPr/>
      </w:pPr>
      <w:r w:rsidDel="00000000" w:rsidR="00000000" w:rsidRPr="00000000">
        <w:rPr>
          <w:rtl w:val="0"/>
        </w:rPr>
        <w:t xml:space="preserve">DREHER, Axel; JENSEN, Nathan M. Independent actor or agent? An empirical analysis of the impact of U.S. interests on INTERNATIONAL MONETARY FUND conditions. </w:t>
      </w:r>
      <w:r w:rsidDel="00000000" w:rsidR="00000000" w:rsidRPr="00000000">
        <w:rPr>
          <w:i w:val="1"/>
          <w:iCs w:val="1"/>
          <w:rtl w:val="0"/>
        </w:rPr>
        <w:t xml:space="preserve">Journal of Law and Economics</w:t>
      </w:r>
      <w:r w:rsidDel="00000000" w:rsidR="00000000" w:rsidRPr="00000000">
        <w:rPr>
          <w:rtl w:val="0"/>
        </w:rPr>
        <w:t xml:space="preserve">, v. 50, n. 1, p. 105–124, 2007. DOI: https://doi.org/10.1086/508311.</w:t>
      </w:r>
    </w:p>
    <w:p w:rsidR="00000000" w:rsidDel="00000000" w:rsidP="00000000" w:rsidRDefault="00000000" w:rsidRPr="00000000" w14:paraId="0000004E">
      <w:pPr>
        <w:spacing w:before="240" w:lineRule="auto"/>
        <w:ind w:left="0" w:firstLine="0"/>
        <w:rPr/>
      </w:pPr>
      <w:r w:rsidDel="00000000" w:rsidR="00000000" w:rsidRPr="00000000">
        <w:rPr>
          <w:rtl w:val="0"/>
        </w:rPr>
        <w:t xml:space="preserve">DREHER, Axel; STURM, Jan-Egbert; VREELAND, James Raymond. Global horse trading: IMF loans for votes in the United Nations Security Council. </w:t>
      </w:r>
      <w:r w:rsidDel="00000000" w:rsidR="00000000" w:rsidRPr="00000000">
        <w:rPr>
          <w:i w:val="1"/>
          <w:iCs w:val="1"/>
          <w:rtl w:val="0"/>
        </w:rPr>
        <w:t xml:space="preserve">European Economic Review</w:t>
      </w:r>
      <w:r w:rsidDel="00000000" w:rsidR="00000000" w:rsidRPr="00000000">
        <w:rPr>
          <w:rtl w:val="0"/>
        </w:rPr>
        <w:t xml:space="preserve">, v. 53, n. 7, p. 742–757, 2009. DOI: https://doi.org/10.1016/j.euroecorev.2009.03.002.</w:t>
      </w:r>
    </w:p>
    <w:p w:rsidR="00000000" w:rsidDel="00000000" w:rsidP="00000000" w:rsidRDefault="00000000" w:rsidRPr="00000000" w14:paraId="0000004F">
      <w:pPr>
        <w:spacing w:before="240" w:lineRule="auto"/>
        <w:ind w:left="0" w:firstLine="0"/>
        <w:rPr/>
      </w:pPr>
      <w:r w:rsidDel="00000000" w:rsidR="00000000" w:rsidRPr="00000000">
        <w:rPr>
          <w:rtl w:val="0"/>
        </w:rPr>
        <w:t xml:space="preserve">DREHER, Axel; STURM, Jan-Egbert; VREELAND, James Raymond. Politics and IMF conditionality. </w:t>
      </w:r>
      <w:r w:rsidDel="00000000" w:rsidR="00000000" w:rsidRPr="00000000">
        <w:rPr>
          <w:i w:val="1"/>
          <w:iCs w:val="1"/>
          <w:rtl w:val="0"/>
        </w:rPr>
        <w:t xml:space="preserve">Journal of Conflict Resolution</w:t>
      </w:r>
      <w:r w:rsidDel="00000000" w:rsidR="00000000" w:rsidRPr="00000000">
        <w:rPr>
          <w:rtl w:val="0"/>
        </w:rPr>
        <w:t xml:space="preserve">, v. 59, n. 1, p. 120–148, 2015. DOI: https://doi.org/10.1177/0022002713499723.</w:t>
      </w:r>
    </w:p>
    <w:p w:rsidR="00000000" w:rsidDel="00000000" w:rsidP="00000000" w:rsidRDefault="00000000" w:rsidRPr="00000000" w14:paraId="00000050">
      <w:pPr>
        <w:spacing w:before="240" w:lineRule="auto"/>
        <w:ind w:left="0" w:firstLine="0"/>
        <w:rPr/>
      </w:pPr>
      <w:r w:rsidDel="00000000" w:rsidR="00000000" w:rsidRPr="00000000">
        <w:rPr>
          <w:rtl w:val="0"/>
        </w:rPr>
        <w:t xml:space="preserve">GARDNER, Richard N. </w:t>
      </w:r>
      <w:r w:rsidDel="00000000" w:rsidR="00000000" w:rsidRPr="00000000">
        <w:rPr>
          <w:i w:val="1"/>
          <w:iCs w:val="1"/>
          <w:rtl w:val="0"/>
        </w:rPr>
        <w:t xml:space="preserve">Sterling-Dollar Diplomacy in Current Perspective: The Origins and the Prospects of Our International Economic Order</w:t>
      </w:r>
      <w:r w:rsidDel="00000000" w:rsidR="00000000" w:rsidRPr="00000000">
        <w:rPr>
          <w:rtl w:val="0"/>
        </w:rPr>
        <w:t xml:space="preserve">. 2. ed. expanded. New York: Columbia University Press, 1980.</w:t>
      </w:r>
    </w:p>
    <w:p w:rsidR="00000000" w:rsidDel="00000000" w:rsidP="00000000" w:rsidRDefault="00000000" w:rsidRPr="00000000" w14:paraId="00000051">
      <w:pPr>
        <w:spacing w:before="240" w:lineRule="auto"/>
        <w:ind w:left="0" w:firstLine="0"/>
        <w:rPr/>
      </w:pPr>
      <w:r w:rsidDel="00000000" w:rsidR="00000000" w:rsidRPr="00000000">
        <w:rPr>
          <w:rtl w:val="0"/>
        </w:rPr>
        <w:t xml:space="preserve">GRABEL, Ilene. Continuity, discontinuity and incoherence in the Bretton Woods order: a Hirschmanian reading. </w:t>
      </w:r>
      <w:r w:rsidDel="00000000" w:rsidR="00000000" w:rsidRPr="00000000">
        <w:rPr>
          <w:i w:val="1"/>
          <w:iCs w:val="1"/>
          <w:rtl w:val="0"/>
        </w:rPr>
        <w:t xml:space="preserve">Development and Change</w:t>
      </w:r>
      <w:r w:rsidDel="00000000" w:rsidR="00000000" w:rsidRPr="00000000">
        <w:rPr>
          <w:rtl w:val="0"/>
        </w:rPr>
        <w:t xml:space="preserve">, v. 50, n. 1, p. 46–71, 2019. DOI: https://doi.org/10.1111/dech.12469.</w:t>
      </w:r>
    </w:p>
    <w:p w:rsidR="00000000" w:rsidDel="00000000" w:rsidP="00000000" w:rsidRDefault="00000000" w:rsidRPr="00000000" w14:paraId="00000052">
      <w:pPr>
        <w:spacing w:before="240" w:lineRule="auto"/>
        <w:ind w:left="0" w:firstLine="0"/>
        <w:rPr/>
      </w:pPr>
      <w:r w:rsidDel="00000000" w:rsidR="00000000" w:rsidRPr="00000000">
        <w:rPr>
          <w:rtl w:val="0"/>
        </w:rPr>
        <w:t xml:space="preserve">HEINZEL, Mirko; RICHTER, Julia; BUSCH, Per-Olof; FEIL, Heike; HEROLD, Jan; LIESE, Andrea. Birds of a feather? The determinants of impartiality perceptions of the IMF and the World Bank. </w:t>
      </w:r>
      <w:r w:rsidDel="00000000" w:rsidR="00000000" w:rsidRPr="00000000">
        <w:rPr>
          <w:i w:val="1"/>
          <w:iCs w:val="1"/>
          <w:rtl w:val="0"/>
        </w:rPr>
        <w:t xml:space="preserve">Review of International Political Economy</w:t>
      </w:r>
      <w:r w:rsidDel="00000000" w:rsidR="00000000" w:rsidRPr="00000000">
        <w:rPr>
          <w:rtl w:val="0"/>
        </w:rPr>
        <w:t xml:space="preserve">, v. 28, n. 5, p. 1249–1273, 2021. DOI: https://doi.org/10.1080/09692290.2020.1749711.</w:t>
      </w:r>
    </w:p>
    <w:p w:rsidR="00000000" w:rsidDel="00000000" w:rsidP="00000000" w:rsidRDefault="00000000" w:rsidRPr="00000000" w14:paraId="00000053">
      <w:pPr>
        <w:spacing w:before="240" w:lineRule="auto"/>
        <w:ind w:left="0" w:firstLine="0"/>
        <w:rPr/>
      </w:pPr>
      <w:r w:rsidDel="00000000" w:rsidR="00000000" w:rsidRPr="00000000">
        <w:rPr>
          <w:rtl w:val="0"/>
        </w:rPr>
        <w:t xml:space="preserve">HAWKINS, Darren G.; LAKE, David A.; NIELSON, Daniel L.; TIERNEY, Michael J. (org.). Delegation and agency in international organizations. Cambridge: Cambridge University Press, 2006.</w:t>
      </w:r>
    </w:p>
    <w:p w:rsidR="00000000" w:rsidDel="00000000" w:rsidP="00000000" w:rsidRDefault="00000000" w:rsidRPr="00000000" w14:paraId="00000054">
      <w:pPr>
        <w:spacing w:before="240" w:lineRule="auto"/>
        <w:ind w:left="0" w:firstLine="0"/>
        <w:rPr/>
      </w:pPr>
      <w:r w:rsidDel="00000000" w:rsidR="00000000" w:rsidRPr="00000000">
        <w:rPr>
          <w:rtl w:val="0"/>
        </w:rPr>
        <w:t xml:space="preserve">HELLEINER, Eric. </w:t>
      </w:r>
      <w:r w:rsidDel="00000000" w:rsidR="00000000" w:rsidRPr="00000000">
        <w:rPr>
          <w:i w:val="1"/>
          <w:iCs w:val="1"/>
          <w:rtl w:val="0"/>
        </w:rPr>
        <w:t xml:space="preserve">Forgotten Foundations of Bretton Woods: International Development and the Making of the Postwar Order</w:t>
      </w:r>
      <w:r w:rsidDel="00000000" w:rsidR="00000000" w:rsidRPr="00000000">
        <w:rPr>
          <w:rtl w:val="0"/>
        </w:rPr>
        <w:t xml:space="preserve">. Ithaca: Cornell University Press, 2014.</w:t>
      </w:r>
    </w:p>
    <w:p w:rsidR="00000000" w:rsidDel="00000000" w:rsidP="00000000" w:rsidRDefault="00000000" w:rsidRPr="00000000" w14:paraId="00000055">
      <w:pPr>
        <w:spacing w:before="240" w:lineRule="auto"/>
        <w:ind w:left="0" w:firstLine="0"/>
        <w:rPr/>
      </w:pPr>
      <w:r w:rsidDel="00000000" w:rsidR="00000000" w:rsidRPr="00000000">
        <w:rPr>
          <w:rtl w:val="0"/>
        </w:rPr>
        <w:t xml:space="preserve">INTERNATIONAL MONETARY FUND. </w:t>
      </w:r>
      <w:r w:rsidDel="00000000" w:rsidR="00000000" w:rsidRPr="00000000">
        <w:rPr>
          <w:i w:val="1"/>
          <w:iCs w:val="1"/>
          <w:rtl w:val="0"/>
        </w:rPr>
        <w:t xml:space="preserve">Articles of Agreement of the INTERNATIONAL MONETARY FUND</w:t>
      </w:r>
      <w:r w:rsidDel="00000000" w:rsidR="00000000" w:rsidRPr="00000000">
        <w:rPr>
          <w:rtl w:val="0"/>
        </w:rPr>
        <w:t xml:space="preserve">. Washington, DC: INTERNATIONAL MONETARY FUND, 2020. Disponível em: https://www.imf.org/external/pubs/ft/aa/index.htm. Acesso em: 3 fev. 2026.</w:t>
      </w:r>
    </w:p>
    <w:p w:rsidR="00000000" w:rsidDel="00000000" w:rsidP="00000000" w:rsidRDefault="00000000" w:rsidRPr="00000000" w14:paraId="00000056">
      <w:pPr>
        <w:spacing w:before="240" w:lineRule="auto"/>
        <w:ind w:left="0" w:firstLine="0"/>
        <w:rPr/>
      </w:pPr>
      <w:r w:rsidDel="00000000" w:rsidR="00000000" w:rsidRPr="00000000">
        <w:rPr>
          <w:rtl w:val="0"/>
        </w:rPr>
        <w:t xml:space="preserve">INTERNATIONAL MONETARY FUND. </w:t>
      </w:r>
      <w:r w:rsidDel="00000000" w:rsidR="00000000" w:rsidRPr="00000000">
        <w:rPr>
          <w:i w:val="1"/>
          <w:iCs w:val="1"/>
          <w:rtl w:val="0"/>
        </w:rPr>
        <w:t xml:space="preserve">Governance and Decision-Making</w:t>
      </w:r>
      <w:r w:rsidDel="00000000" w:rsidR="00000000" w:rsidRPr="00000000">
        <w:rPr>
          <w:rtl w:val="0"/>
        </w:rPr>
        <w:t xml:space="preserve">. In: </w:t>
      </w:r>
      <w:r w:rsidDel="00000000" w:rsidR="00000000" w:rsidRPr="00000000">
        <w:rPr>
          <w:i w:val="1"/>
          <w:iCs w:val="1"/>
          <w:rtl w:val="0"/>
        </w:rPr>
        <w:t xml:space="preserve">INTERNATIONAL MONETARY FUND Handbook</w:t>
      </w:r>
      <w:r w:rsidDel="00000000" w:rsidR="00000000" w:rsidRPr="00000000">
        <w:rPr>
          <w:rtl w:val="0"/>
        </w:rPr>
        <w:t xml:space="preserve">. Washington, D.C.: IMF, 2025.</w:t>
        <w:br w:type="textWrapping"/>
        <w:t xml:space="preserve">Disponível em: https://www.elibrary.imf.org/display/book/9781589066250/C9.xml.</w:t>
      </w:r>
    </w:p>
    <w:p w:rsidR="00000000" w:rsidDel="00000000" w:rsidP="00000000" w:rsidRDefault="00000000" w:rsidRPr="00000000" w14:paraId="00000057">
      <w:pPr>
        <w:spacing w:before="240" w:lineRule="auto"/>
        <w:ind w:left="0" w:firstLine="0"/>
        <w:rPr/>
      </w:pPr>
      <w:r w:rsidDel="00000000" w:rsidR="00000000" w:rsidRPr="00000000">
        <w:rPr>
          <w:rtl w:val="0"/>
        </w:rPr>
        <w:t xml:space="preserve">KAHN, Richard. Historical origins of the INTERNATIONAL MONETARY FUND. In: MARCUZZO, Maria Cristina; PAESANI, Paolo (org.). </w:t>
      </w:r>
      <w:r w:rsidDel="00000000" w:rsidR="00000000" w:rsidRPr="00000000">
        <w:rPr>
          <w:i w:val="1"/>
          <w:iCs w:val="1"/>
          <w:rtl w:val="0"/>
        </w:rPr>
        <w:t xml:space="preserve">Palgrave studies in the history of economic thought</w:t>
      </w:r>
      <w:r w:rsidDel="00000000" w:rsidR="00000000" w:rsidRPr="00000000">
        <w:rPr>
          <w:rtl w:val="0"/>
        </w:rPr>
        <w:t xml:space="preserve">. Cham: Palgrave Macmillan, 2022. </w:t>
      </w:r>
    </w:p>
    <w:p w:rsidR="00000000" w:rsidDel="00000000" w:rsidP="00000000" w:rsidRDefault="00000000" w:rsidRPr="00000000" w14:paraId="00000058">
      <w:pPr>
        <w:spacing w:before="240" w:lineRule="auto"/>
        <w:ind w:left="0" w:firstLine="0"/>
        <w:rPr/>
      </w:pPr>
      <w:r w:rsidDel="00000000" w:rsidR="00000000" w:rsidRPr="00000000">
        <w:rPr>
          <w:rtl w:val="0"/>
        </w:rPr>
        <w:t xml:space="preserve">KENTIKELENIS, Alexander; BABB, Sarah. The making of neoliberal globalization: norm substitution and the politics of clandestine institutional change. </w:t>
      </w:r>
      <w:r w:rsidDel="00000000" w:rsidR="00000000" w:rsidRPr="00000000">
        <w:rPr>
          <w:i w:val="1"/>
          <w:iCs w:val="1"/>
          <w:rtl w:val="0"/>
        </w:rPr>
        <w:t xml:space="preserve">American Journal of Sociology</w:t>
      </w:r>
      <w:r w:rsidDel="00000000" w:rsidR="00000000" w:rsidRPr="00000000">
        <w:rPr>
          <w:rtl w:val="0"/>
        </w:rPr>
        <w:t xml:space="preserve">, v. 124, n. 6, p. 1720–1762, 2019. DOI: https://doi.org/10.1086/702900.</w:t>
      </w:r>
    </w:p>
    <w:p w:rsidR="00000000" w:rsidDel="00000000" w:rsidP="00000000" w:rsidRDefault="00000000" w:rsidRPr="00000000" w14:paraId="00000059">
      <w:pPr>
        <w:spacing w:before="240" w:lineRule="auto"/>
        <w:ind w:left="0" w:firstLine="0"/>
        <w:rPr/>
      </w:pPr>
      <w:r w:rsidDel="00000000" w:rsidR="00000000" w:rsidRPr="00000000">
        <w:rPr>
          <w:rtl w:val="0"/>
        </w:rPr>
        <w:t xml:space="preserve">LESAGE, Dries; DEBAERE, Peter; DIERCKX, Sigrid; VERMEIREN, Mattias. IMF reform after the crisis. </w:t>
      </w:r>
      <w:r w:rsidDel="00000000" w:rsidR="00000000" w:rsidRPr="00000000">
        <w:rPr>
          <w:i w:val="1"/>
          <w:iCs w:val="1"/>
          <w:rtl w:val="0"/>
        </w:rPr>
        <w:t xml:space="preserve">International Politics</w:t>
      </w:r>
      <w:r w:rsidDel="00000000" w:rsidR="00000000" w:rsidRPr="00000000">
        <w:rPr>
          <w:rtl w:val="0"/>
        </w:rPr>
        <w:t xml:space="preserve">, v. 50, n. 4, p. 553–578, 2013. DOI: https://doi.org/10.1057/ip.2013.17.</w:t>
      </w:r>
    </w:p>
    <w:p w:rsidR="00000000" w:rsidDel="00000000" w:rsidP="00000000" w:rsidRDefault="00000000" w:rsidRPr="00000000" w14:paraId="0000005A">
      <w:pPr>
        <w:spacing w:before="240" w:lineRule="auto"/>
        <w:ind w:left="0" w:firstLine="0"/>
        <w:rPr/>
      </w:pPr>
      <w:r w:rsidDel="00000000" w:rsidR="00000000" w:rsidRPr="00000000">
        <w:rPr>
          <w:rtl w:val="0"/>
        </w:rPr>
        <w:t xml:space="preserve">NELSON, Stephen C. Playing favorites: how shared beliefs shape the IMF’s lending decisions. </w:t>
      </w:r>
      <w:r w:rsidDel="00000000" w:rsidR="00000000" w:rsidRPr="00000000">
        <w:rPr>
          <w:i w:val="1"/>
          <w:iCs w:val="1"/>
          <w:rtl w:val="0"/>
        </w:rPr>
        <w:t xml:space="preserve">International Organization</w:t>
      </w:r>
      <w:r w:rsidDel="00000000" w:rsidR="00000000" w:rsidRPr="00000000">
        <w:rPr>
          <w:rtl w:val="0"/>
        </w:rPr>
        <w:t xml:space="preserve">, v. 68, n. 2, p. 297–328, 2014. DOI: https://doi.org/10.1017/S0020818313000477.</w:t>
      </w:r>
    </w:p>
    <w:p w:rsidR="00000000" w:rsidDel="00000000" w:rsidP="00000000" w:rsidRDefault="00000000" w:rsidRPr="00000000" w14:paraId="0000005B">
      <w:pPr>
        <w:spacing w:before="240" w:lineRule="auto"/>
        <w:ind w:left="0" w:firstLine="0"/>
        <w:rPr/>
      </w:pPr>
      <w:r w:rsidDel="00000000" w:rsidR="00000000" w:rsidRPr="00000000">
        <w:rPr>
          <w:rtl w:val="0"/>
        </w:rPr>
        <w:t xml:space="preserve">PAHUJA, Sundhya. </w:t>
      </w:r>
      <w:r w:rsidDel="00000000" w:rsidR="00000000" w:rsidRPr="00000000">
        <w:rPr>
          <w:i w:val="1"/>
          <w:iCs w:val="1"/>
          <w:rtl w:val="0"/>
        </w:rPr>
        <w:t xml:space="preserve">Decolonising international law: development, economic growth and the politics of universality</w:t>
      </w:r>
      <w:r w:rsidDel="00000000" w:rsidR="00000000" w:rsidRPr="00000000">
        <w:rPr>
          <w:rtl w:val="0"/>
        </w:rPr>
        <w:t xml:space="preserve">. Cambridge: Cambridge University Press, 2011.</w:t>
      </w:r>
    </w:p>
    <w:p w:rsidR="00000000" w:rsidDel="00000000" w:rsidP="00000000" w:rsidRDefault="00000000" w:rsidRPr="00000000" w14:paraId="0000005C">
      <w:pPr>
        <w:spacing w:before="240" w:lineRule="auto"/>
        <w:ind w:left="0" w:firstLine="0"/>
        <w:rPr/>
      </w:pPr>
      <w:r w:rsidDel="00000000" w:rsidR="00000000" w:rsidRPr="00000000">
        <w:rPr>
          <w:rtl w:val="0"/>
        </w:rPr>
        <w:t xml:space="preserve">QUEREJAZU, Amaya. Alternative global governances. </w:t>
      </w:r>
      <w:r w:rsidDel="00000000" w:rsidR="00000000" w:rsidRPr="00000000">
        <w:rPr>
          <w:i w:val="1"/>
          <w:iCs w:val="1"/>
          <w:rtl w:val="0"/>
        </w:rPr>
        <w:t xml:space="preserve">Oxford Research Encyclopedia of International Studies</w:t>
      </w:r>
      <w:r w:rsidDel="00000000" w:rsidR="00000000" w:rsidRPr="00000000">
        <w:rPr>
          <w:rtl w:val="0"/>
        </w:rPr>
        <w:t xml:space="preserve">, 2021. DOI: https://doi.org/10.1093/acrefore/9780190846626.013.649.</w:t>
      </w:r>
    </w:p>
    <w:p w:rsidR="00000000" w:rsidDel="00000000" w:rsidP="00000000" w:rsidRDefault="00000000" w:rsidRPr="00000000" w14:paraId="0000005D">
      <w:pPr>
        <w:spacing w:before="240" w:lineRule="auto"/>
        <w:ind w:left="0" w:firstLine="0"/>
        <w:rPr/>
      </w:pPr>
      <w:r w:rsidDel="00000000" w:rsidR="00000000" w:rsidRPr="00000000">
        <w:rPr>
          <w:rtl w:val="0"/>
        </w:rPr>
        <w:t xml:space="preserve">SKIDELSKY, Robert. </w:t>
      </w:r>
      <w:r w:rsidDel="00000000" w:rsidR="00000000" w:rsidRPr="00000000">
        <w:rPr>
          <w:i w:val="1"/>
          <w:iCs w:val="1"/>
          <w:rtl w:val="0"/>
        </w:rPr>
        <w:t xml:space="preserve">John Maynard Keynes: Fighting for Britain, 1937–1946</w:t>
      </w:r>
      <w:r w:rsidDel="00000000" w:rsidR="00000000" w:rsidRPr="00000000">
        <w:rPr>
          <w:rtl w:val="0"/>
        </w:rPr>
        <w:t xml:space="preserve">. London: Macmillan, 2000.</w:t>
      </w:r>
    </w:p>
    <w:p w:rsidR="00000000" w:rsidDel="00000000" w:rsidP="00000000" w:rsidRDefault="00000000" w:rsidRPr="00000000" w14:paraId="0000005E">
      <w:pPr>
        <w:spacing w:before="240" w:lineRule="auto"/>
        <w:ind w:left="0" w:firstLine="0"/>
        <w:rPr/>
      </w:pPr>
      <w:r w:rsidDel="00000000" w:rsidR="00000000" w:rsidRPr="00000000">
        <w:rPr>
          <w:rtl w:val="0"/>
        </w:rPr>
        <w:t xml:space="preserve">STEIL, Benn. </w:t>
      </w:r>
      <w:r w:rsidDel="00000000" w:rsidR="00000000" w:rsidRPr="00000000">
        <w:rPr>
          <w:i w:val="1"/>
          <w:iCs w:val="1"/>
          <w:rtl w:val="0"/>
        </w:rPr>
        <w:t xml:space="preserve">The Battle of Bretton Woods: John Maynard Keynes, Harry Dexter White, and the Making of a New World Order</w:t>
      </w:r>
      <w:r w:rsidDel="00000000" w:rsidR="00000000" w:rsidRPr="00000000">
        <w:rPr>
          <w:rtl w:val="0"/>
        </w:rPr>
        <w:t xml:space="preserve">. Princeton: Princeton University Press, 2013.</w:t>
      </w:r>
    </w:p>
    <w:p w:rsidR="00000000" w:rsidDel="00000000" w:rsidP="00000000" w:rsidRDefault="00000000" w:rsidRPr="00000000" w14:paraId="0000005F">
      <w:pPr>
        <w:spacing w:before="240" w:lineRule="auto"/>
        <w:ind w:left="0" w:firstLine="0"/>
        <w:rPr/>
      </w:pPr>
      <w:r w:rsidDel="00000000" w:rsidR="00000000" w:rsidRPr="00000000">
        <w:rPr>
          <w:rtl w:val="0"/>
        </w:rPr>
        <w:t xml:space="preserve">STONE, Randall W. Controlling institutions: International organizations and the global economy. Cambridge: Cambridge University Press, 2011.</w:t>
      </w:r>
    </w:p>
    <w:p w:rsidR="00000000" w:rsidDel="00000000" w:rsidP="00000000" w:rsidRDefault="00000000" w:rsidRPr="00000000" w14:paraId="00000060">
      <w:pPr>
        <w:spacing w:before="240" w:lineRule="auto"/>
        <w:ind w:left="0" w:firstLine="0"/>
        <w:rPr/>
      </w:pPr>
      <w:r w:rsidDel="00000000" w:rsidR="00000000" w:rsidRPr="00000000">
        <w:rPr>
          <w:rtl w:val="0"/>
        </w:rPr>
        <w:t xml:space="preserve">SWEDBERG, Richard. The doctrine of economic neutrality of the IMF and the World Bank. </w:t>
      </w:r>
      <w:r w:rsidDel="00000000" w:rsidR="00000000" w:rsidRPr="00000000">
        <w:rPr>
          <w:i w:val="1"/>
          <w:iCs w:val="1"/>
          <w:rtl w:val="0"/>
        </w:rPr>
        <w:t xml:space="preserve">Journal of Peace Research</w:t>
      </w:r>
      <w:r w:rsidDel="00000000" w:rsidR="00000000" w:rsidRPr="00000000">
        <w:rPr>
          <w:rtl w:val="0"/>
        </w:rPr>
        <w:t xml:space="preserve">, v. 23, n. 4, p. 377–390, 1986. DOI: https://doi.org/10.1177/002234338602300406.</w:t>
      </w:r>
    </w:p>
    <w:p w:rsidR="00000000" w:rsidDel="00000000" w:rsidP="00000000" w:rsidRDefault="00000000" w:rsidRPr="00000000" w14:paraId="00000061">
      <w:pPr>
        <w:spacing w:before="240" w:lineRule="auto"/>
        <w:ind w:left="0" w:firstLine="0"/>
        <w:rPr/>
      </w:pPr>
      <w:r w:rsidDel="00000000" w:rsidR="00000000" w:rsidRPr="00000000">
        <w:rPr>
          <w:rtl w:val="0"/>
        </w:rPr>
        <w:t xml:space="preserve">THACKER, Strom C. The high politics of IMF lending. </w:t>
      </w:r>
      <w:r w:rsidDel="00000000" w:rsidR="00000000" w:rsidRPr="00000000">
        <w:rPr>
          <w:i w:val="1"/>
          <w:iCs w:val="1"/>
          <w:rtl w:val="0"/>
        </w:rPr>
        <w:t xml:space="preserve">World Politics</w:t>
      </w:r>
      <w:r w:rsidDel="00000000" w:rsidR="00000000" w:rsidRPr="00000000">
        <w:rPr>
          <w:rtl w:val="0"/>
        </w:rPr>
        <w:t xml:space="preserve">, v. 52, n. 1, p. 38–75, 1999. DOI: https://doi.org/10.1017/S0043887100020025.</w:t>
      </w:r>
    </w:p>
    <w:p w:rsidR="00000000" w:rsidDel="00000000" w:rsidP="00000000" w:rsidRDefault="00000000" w:rsidRPr="00000000" w14:paraId="00000062">
      <w:pPr>
        <w:spacing w:before="240" w:lineRule="auto"/>
        <w:ind w:left="0" w:firstLine="0"/>
        <w:rPr/>
      </w:pPr>
      <w:r w:rsidDel="00000000" w:rsidR="00000000" w:rsidRPr="00000000">
        <w:rPr>
          <w:rtl w:val="0"/>
        </w:rPr>
        <w:t xml:space="preserve">WOODS, Ngaire. </w:t>
      </w:r>
      <w:r w:rsidDel="00000000" w:rsidR="00000000" w:rsidRPr="00000000">
        <w:rPr>
          <w:i w:val="1"/>
          <w:iCs w:val="1"/>
          <w:rtl w:val="0"/>
        </w:rPr>
        <w:t xml:space="preserve">The globalizers: the IMF, the World Bank, and their borrowers</w:t>
      </w:r>
      <w:r w:rsidDel="00000000" w:rsidR="00000000" w:rsidRPr="00000000">
        <w:rPr>
          <w:rtl w:val="0"/>
        </w:rPr>
        <w:t xml:space="preserve">. Ithaca: Cornell University Press, 2006</w:t>
      </w:r>
    </w:p>
    <w:p w:rsidR="00000000" w:rsidDel="00000000" w:rsidP="00000000" w:rsidRDefault="00000000" w:rsidRPr="00000000" w14:paraId="00000063">
      <w:pPr>
        <w:spacing w:before="240" w:lineRule="auto"/>
        <w:ind w:left="0" w:firstLine="0"/>
        <w:rPr/>
      </w:pPr>
      <w:r w:rsidDel="00000000" w:rsidR="00000000" w:rsidRPr="00000000">
        <w:rPr>
          <w:rtl w:val="0"/>
        </w:rPr>
        <w:t xml:space="preserve">WOODS, Ngaire; LOMBARDI, Domenico. Uneven patterns of governance: how developing countries are represented in the IMF. </w:t>
      </w:r>
      <w:r w:rsidDel="00000000" w:rsidR="00000000" w:rsidRPr="00000000">
        <w:rPr>
          <w:i w:val="1"/>
          <w:iCs w:val="1"/>
          <w:rtl w:val="0"/>
        </w:rPr>
        <w:t xml:space="preserve">Review of International Political Economy</w:t>
      </w:r>
      <w:r w:rsidDel="00000000" w:rsidR="00000000" w:rsidRPr="00000000">
        <w:rPr>
          <w:rtl w:val="0"/>
        </w:rPr>
        <w:t xml:space="preserve">, v. 13, n. 3, p. 480–515, 2006. DOI: https://doi.org/10.1080/09692290600769351.</w:t>
      </w:r>
    </w:p>
    <w:p w:rsidR="00000000" w:rsidDel="00000000" w:rsidP="00000000" w:rsidRDefault="00000000" w:rsidRPr="00000000" w14:paraId="00000064">
      <w:pPr>
        <w:rPr/>
      </w:pPr>
      <w:r w:rsidDel="00000000" w:rsidR="00000000" w:rsidRPr="00000000">
        <w:rPr>
          <w:rtl w:val="0"/>
        </w:rPr>
      </w:r>
    </w:p>
    <w:sectPr>
      <w:footerReference r:id="rId8" w:type="default"/>
      <w:pgSz w:h="16838" w:w="11906" w:orient="portrait"/>
      <w:pgMar w:bottom="1134" w:top="1701"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70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Pesquisadora </w:t>
      </w:r>
      <w:r w:rsidDel="00000000" w:rsidR="00000000" w:rsidRPr="00000000">
        <w:rPr>
          <w:sz w:val="20"/>
          <w:szCs w:val="20"/>
          <w:rtl w:val="0"/>
        </w:rPr>
        <w:t xml:space="preserve">no</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Centro de Pesquisa de Direito Global da FGV Direito Rio. Assessora Jurídica do Ministério Público do Estado do Rio de Janeiro. Mestre em Direito, summa cum laude, pela Universidade de Glasgow, com especialização em Direito Internacional Ambiental pela Universidade de Leuphana. Mestre em Ciência Política, summa cum laude, pelo Instituto de Estudos Internacionais de Barcelona (IBEI).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spacing w:line="360" w:lineRule="auto"/>
        <w:ind w:firstLine="709"/>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before="200" w:lineRule="auto"/>
    </w:pPr>
    <w:rPr>
      <w:rFonts w:ascii="Calibri" w:cs="Calibri" w:eastAsia="Calibri" w:hAnsi="Calibri"/>
      <w:color w:val="243f61"/>
    </w:rPr>
  </w:style>
  <w:style w:type="paragraph" w:styleId="Heading6">
    <w:name w:val="heading 6"/>
    <w:basedOn w:val="Normal"/>
    <w:next w:val="Normal"/>
    <w:pPr>
      <w:keepNext w:val="1"/>
      <w:keepLines w:val="1"/>
      <w:spacing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Ttulo7">
    <w:name w:val="heading 7"/>
    <w:basedOn w:val="Normal"/>
    <w:next w:val="Normal"/>
    <w:link w:val="Ttulo7Char"/>
    <w:uiPriority w:val="9"/>
    <w:semiHidden w:val="1"/>
    <w:unhideWhenUsed w:val="1"/>
    <w:qFormat w:val="1"/>
    <w:rsid w:val="00FC693F"/>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Ttulo8">
    <w:name w:val="heading 8"/>
    <w:basedOn w:val="Normal"/>
    <w:next w:val="Normal"/>
    <w:link w:val="Ttulo8Char"/>
    <w:uiPriority w:val="9"/>
    <w:semiHidden w:val="1"/>
    <w:unhideWhenUsed w:val="1"/>
    <w:qFormat w:val="1"/>
    <w:rsid w:val="00FC693F"/>
    <w:pPr>
      <w:keepNext w:val="1"/>
      <w:keepLines w:val="1"/>
      <w:spacing w:before="200"/>
      <w:outlineLvl w:val="7"/>
    </w:pPr>
    <w:rPr>
      <w:rFonts w:asciiTheme="majorHAnsi" w:cstheme="majorBidi" w:eastAsiaTheme="majorEastAsia" w:hAnsiTheme="majorHAnsi"/>
      <w:color w:val="4f81bd" w:themeColor="accent1"/>
      <w:sz w:val="20"/>
      <w:szCs w:val="20"/>
    </w:rPr>
  </w:style>
  <w:style w:type="paragraph" w:styleId="Ttulo9">
    <w:name w:val="heading 9"/>
    <w:basedOn w:val="Normal"/>
    <w:next w:val="Normal"/>
    <w:link w:val="Ttulo9Char"/>
    <w:uiPriority w:val="9"/>
    <w:semiHidden w:val="1"/>
    <w:unhideWhenUsed w:val="1"/>
    <w:qFormat w:val="1"/>
    <w:rsid w:val="00FC693F"/>
    <w:pPr>
      <w:keepNext w:val="1"/>
      <w:keepLines w:val="1"/>
      <w:spacing w:before="200"/>
      <w:outlineLvl w:val="8"/>
    </w:pPr>
    <w:rPr>
      <w:rFonts w:asciiTheme="majorHAnsi" w:cstheme="majorBidi" w:eastAsiaTheme="majorEastAsia" w:hAnsiTheme="majorHAnsi"/>
      <w:i w:val="1"/>
      <w:iCs w:val="1"/>
      <w:color w:val="404040" w:themeColor="text1" w:themeTint="0000BF"/>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Cabealho">
    <w:name w:val="header"/>
    <w:basedOn w:val="Normal"/>
    <w:link w:val="CabealhoChar"/>
    <w:uiPriority w:val="99"/>
    <w:unhideWhenUsed w:val="1"/>
    <w:rsid w:val="00E618BF"/>
    <w:pPr>
      <w:tabs>
        <w:tab w:val="center" w:pos="4680"/>
        <w:tab w:val="right" w:pos="9360"/>
      </w:tabs>
      <w:spacing w:line="240" w:lineRule="auto"/>
    </w:pPr>
  </w:style>
  <w:style w:type="character" w:styleId="CabealhoChar" w:customStyle="1">
    <w:name w:val="Cabeçalho Char"/>
    <w:basedOn w:val="Fontepargpadro"/>
    <w:link w:val="Cabealho"/>
    <w:uiPriority w:val="99"/>
    <w:rsid w:val="00E618BF"/>
  </w:style>
  <w:style w:type="paragraph" w:styleId="Rodap">
    <w:name w:val="footer"/>
    <w:basedOn w:val="Normal"/>
    <w:link w:val="RodapChar"/>
    <w:uiPriority w:val="99"/>
    <w:unhideWhenUsed w:val="1"/>
    <w:rsid w:val="00E618BF"/>
    <w:pPr>
      <w:tabs>
        <w:tab w:val="center" w:pos="4680"/>
        <w:tab w:val="right" w:pos="9360"/>
      </w:tabs>
      <w:spacing w:line="240" w:lineRule="auto"/>
    </w:pPr>
  </w:style>
  <w:style w:type="character" w:styleId="RodapChar" w:customStyle="1">
    <w:name w:val="Rodapé Char"/>
    <w:basedOn w:val="Fontepargpadro"/>
    <w:link w:val="Rodap"/>
    <w:uiPriority w:val="99"/>
    <w:rsid w:val="00E618BF"/>
  </w:style>
  <w:style w:type="paragraph" w:styleId="SemEspaamento">
    <w:name w:val="No Spacing"/>
    <w:uiPriority w:val="1"/>
    <w:qFormat w:val="1"/>
    <w:rsid w:val="00FC693F"/>
    <w:pPr>
      <w:spacing w:after="0" w:line="240" w:lineRule="auto"/>
    </w:pPr>
  </w:style>
  <w:style w:type="character" w:styleId="Ttulo1Char" w:customStyle="1">
    <w:name w:val="Título 1 Char"/>
    <w:basedOn w:val="Fontepargpadro"/>
    <w:link w:val="Ttulo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Ttulo2Char" w:customStyle="1">
    <w:name w:val="Título 2 Char"/>
    <w:basedOn w:val="Fontepargpadro"/>
    <w:link w:val="Ttulo2"/>
    <w:uiPriority w:val="9"/>
    <w:rsid w:val="00FC693F"/>
    <w:rPr>
      <w:rFonts w:asciiTheme="majorHAnsi" w:cstheme="majorBidi" w:eastAsiaTheme="majorEastAsia" w:hAnsiTheme="majorHAnsi"/>
      <w:b w:val="1"/>
      <w:bCs w:val="1"/>
      <w:color w:val="4f81bd" w:themeColor="accent1"/>
      <w:sz w:val="26"/>
      <w:szCs w:val="26"/>
    </w:rPr>
  </w:style>
  <w:style w:type="character" w:styleId="Ttulo3Char" w:customStyle="1">
    <w:name w:val="Título 3 Char"/>
    <w:basedOn w:val="Fontepargpadro"/>
    <w:link w:val="Ttulo3"/>
    <w:uiPriority w:val="9"/>
    <w:rsid w:val="00FC693F"/>
    <w:rPr>
      <w:rFonts w:asciiTheme="majorHAnsi" w:cstheme="majorBidi" w:eastAsiaTheme="majorEastAsia" w:hAnsiTheme="majorHAnsi"/>
      <w:b w:val="1"/>
      <w:bCs w:val="1"/>
      <w:color w:val="4f81bd" w:themeColor="accent1"/>
    </w:rPr>
  </w:style>
  <w:style w:type="character" w:styleId="TtuloChar" w:customStyle="1">
    <w:name w:val="Título Char"/>
    <w:basedOn w:val="Fontepargpadro"/>
    <w:link w:val="Ttulo"/>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SubttuloChar" w:customStyle="1">
    <w:name w:val="Subtítulo Char"/>
    <w:basedOn w:val="Fontepargpadro"/>
    <w:link w:val="Subttulo"/>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PargrafodaLista">
    <w:name w:val="List Paragraph"/>
    <w:basedOn w:val="Normal"/>
    <w:uiPriority w:val="34"/>
    <w:qFormat w:val="1"/>
    <w:rsid w:val="00FC693F"/>
    <w:pPr>
      <w:ind w:left="720"/>
      <w:contextualSpacing w:val="1"/>
    </w:pPr>
  </w:style>
  <w:style w:type="paragraph" w:styleId="Corpodetexto">
    <w:name w:val="Body Text"/>
    <w:basedOn w:val="Normal"/>
    <w:link w:val="CorpodetextoChar"/>
    <w:uiPriority w:val="99"/>
    <w:unhideWhenUsed w:val="1"/>
    <w:rsid w:val="00AA1D8D"/>
    <w:pPr>
      <w:spacing w:after="120"/>
    </w:pPr>
  </w:style>
  <w:style w:type="character" w:styleId="CorpodetextoChar" w:customStyle="1">
    <w:name w:val="Corpo de texto Char"/>
    <w:basedOn w:val="Fontepargpadro"/>
    <w:link w:val="Corpodetexto"/>
    <w:uiPriority w:val="99"/>
    <w:rsid w:val="00AA1D8D"/>
  </w:style>
  <w:style w:type="paragraph" w:styleId="Corpodetexto2">
    <w:name w:val="Body Text 2"/>
    <w:basedOn w:val="Normal"/>
    <w:link w:val="Corpodetexto2Char"/>
    <w:uiPriority w:val="99"/>
    <w:unhideWhenUsed w:val="1"/>
    <w:rsid w:val="00AA1D8D"/>
    <w:pPr>
      <w:spacing w:after="120" w:line="480" w:lineRule="auto"/>
    </w:pPr>
  </w:style>
  <w:style w:type="character" w:styleId="Corpodetexto2Char" w:customStyle="1">
    <w:name w:val="Corpo de texto 2 Char"/>
    <w:basedOn w:val="Fontepargpadro"/>
    <w:link w:val="Corpodetexto2"/>
    <w:uiPriority w:val="99"/>
    <w:rsid w:val="00AA1D8D"/>
  </w:style>
  <w:style w:type="paragraph" w:styleId="Corpodetexto3">
    <w:name w:val="Body Text 3"/>
    <w:basedOn w:val="Normal"/>
    <w:link w:val="Corpodetexto3Char"/>
    <w:uiPriority w:val="99"/>
    <w:unhideWhenUsed w:val="1"/>
    <w:rsid w:val="00AA1D8D"/>
    <w:pPr>
      <w:spacing w:after="120"/>
    </w:pPr>
    <w:rPr>
      <w:sz w:val="16"/>
      <w:szCs w:val="16"/>
    </w:rPr>
  </w:style>
  <w:style w:type="character" w:styleId="Corpodetexto3Char" w:customStyle="1">
    <w:name w:val="Corpo de texto 3 Char"/>
    <w:basedOn w:val="Fontepargpadro"/>
    <w:link w:val="Corpodetexto3"/>
    <w:uiPriority w:val="99"/>
    <w:rsid w:val="00AA1D8D"/>
    <w:rPr>
      <w:sz w:val="16"/>
      <w:szCs w:val="16"/>
    </w:rPr>
  </w:style>
  <w:style w:type="paragraph" w:styleId="Lista">
    <w:name w:val="List"/>
    <w:basedOn w:val="Normal"/>
    <w:uiPriority w:val="99"/>
    <w:unhideWhenUsed w:val="1"/>
    <w:rsid w:val="00AA1D8D"/>
    <w:pPr>
      <w:ind w:left="360" w:hanging="360"/>
      <w:contextualSpacing w:val="1"/>
    </w:pPr>
  </w:style>
  <w:style w:type="paragraph" w:styleId="Lista2">
    <w:name w:val="List 2"/>
    <w:basedOn w:val="Normal"/>
    <w:uiPriority w:val="99"/>
    <w:unhideWhenUsed w:val="1"/>
    <w:rsid w:val="00326F90"/>
    <w:pPr>
      <w:ind w:left="720" w:hanging="360"/>
      <w:contextualSpacing w:val="1"/>
    </w:pPr>
  </w:style>
  <w:style w:type="paragraph" w:styleId="Lista3">
    <w:name w:val="List 3"/>
    <w:basedOn w:val="Normal"/>
    <w:uiPriority w:val="99"/>
    <w:unhideWhenUsed w:val="1"/>
    <w:rsid w:val="00326F90"/>
    <w:pPr>
      <w:ind w:left="1080" w:hanging="360"/>
      <w:contextualSpacing w:val="1"/>
    </w:pPr>
  </w:style>
  <w:style w:type="paragraph" w:styleId="Commarcadores">
    <w:name w:val="List Bullet"/>
    <w:basedOn w:val="Normal"/>
    <w:uiPriority w:val="99"/>
    <w:unhideWhenUsed w:val="1"/>
    <w:rsid w:val="00326F90"/>
    <w:pPr>
      <w:numPr>
        <w:numId w:val="1"/>
      </w:numPr>
      <w:contextualSpacing w:val="1"/>
    </w:pPr>
  </w:style>
  <w:style w:type="paragraph" w:styleId="Commarcadores2">
    <w:name w:val="List Bullet 2"/>
    <w:basedOn w:val="Normal"/>
    <w:uiPriority w:val="99"/>
    <w:unhideWhenUsed w:val="1"/>
    <w:rsid w:val="00326F90"/>
    <w:pPr>
      <w:numPr>
        <w:numId w:val="2"/>
      </w:numPr>
      <w:contextualSpacing w:val="1"/>
    </w:pPr>
  </w:style>
  <w:style w:type="paragraph" w:styleId="Commarcadores3">
    <w:name w:val="List Bullet 3"/>
    <w:basedOn w:val="Normal"/>
    <w:uiPriority w:val="99"/>
    <w:unhideWhenUsed w:val="1"/>
    <w:rsid w:val="00326F90"/>
    <w:pPr>
      <w:numPr>
        <w:numId w:val="3"/>
      </w:numPr>
      <w:contextualSpacing w:val="1"/>
    </w:pPr>
  </w:style>
  <w:style w:type="paragraph" w:styleId="Numerada">
    <w:name w:val="List Number"/>
    <w:basedOn w:val="Normal"/>
    <w:uiPriority w:val="99"/>
    <w:unhideWhenUsed w:val="1"/>
    <w:rsid w:val="00326F90"/>
    <w:pPr>
      <w:numPr>
        <w:numId w:val="5"/>
      </w:numPr>
      <w:contextualSpacing w:val="1"/>
    </w:pPr>
  </w:style>
  <w:style w:type="paragraph" w:styleId="Numerada2">
    <w:name w:val="List Number 2"/>
    <w:basedOn w:val="Normal"/>
    <w:uiPriority w:val="99"/>
    <w:unhideWhenUsed w:val="1"/>
    <w:rsid w:val="0029639D"/>
    <w:pPr>
      <w:numPr>
        <w:numId w:val="6"/>
      </w:numPr>
      <w:contextualSpacing w:val="1"/>
    </w:pPr>
  </w:style>
  <w:style w:type="paragraph" w:styleId="Numerada3">
    <w:name w:val="List Number 3"/>
    <w:basedOn w:val="Normal"/>
    <w:uiPriority w:val="99"/>
    <w:unhideWhenUsed w:val="1"/>
    <w:rsid w:val="0029639D"/>
    <w:pPr>
      <w:numPr>
        <w:numId w:val="7"/>
      </w:numPr>
      <w:contextualSpacing w:val="1"/>
    </w:pPr>
  </w:style>
  <w:style w:type="paragraph" w:styleId="Listadecontinuao">
    <w:name w:val="List Continue"/>
    <w:basedOn w:val="Normal"/>
    <w:uiPriority w:val="99"/>
    <w:unhideWhenUsed w:val="1"/>
    <w:rsid w:val="0029639D"/>
    <w:pPr>
      <w:spacing w:after="120"/>
      <w:ind w:left="360"/>
      <w:contextualSpacing w:val="1"/>
    </w:pPr>
  </w:style>
  <w:style w:type="paragraph" w:styleId="Listadecontinuao2">
    <w:name w:val="List Continue 2"/>
    <w:basedOn w:val="Normal"/>
    <w:uiPriority w:val="99"/>
    <w:unhideWhenUsed w:val="1"/>
    <w:rsid w:val="0029639D"/>
    <w:pPr>
      <w:spacing w:after="120"/>
      <w:ind w:left="720"/>
      <w:contextualSpacing w:val="1"/>
    </w:pPr>
  </w:style>
  <w:style w:type="paragraph" w:styleId="Listadecontinuao3">
    <w:name w:val="List Continue 3"/>
    <w:basedOn w:val="Normal"/>
    <w:uiPriority w:val="99"/>
    <w:unhideWhenUsed w:val="1"/>
    <w:rsid w:val="0029639D"/>
    <w:pPr>
      <w:spacing w:after="120"/>
      <w:ind w:left="1080"/>
      <w:contextualSpacing w:val="1"/>
    </w:pPr>
  </w:style>
  <w:style w:type="paragraph" w:styleId="Textodemacro">
    <w:name w:val="macro"/>
    <w:link w:val="Textodemacro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TextodemacroChar" w:customStyle="1">
    <w:name w:val="Texto de macro Char"/>
    <w:basedOn w:val="Fontepargpadro"/>
    <w:link w:val="Textodemacro"/>
    <w:uiPriority w:val="99"/>
    <w:rsid w:val="0029639D"/>
    <w:rPr>
      <w:rFonts w:ascii="Courier" w:hAnsi="Courier"/>
      <w:sz w:val="20"/>
      <w:szCs w:val="20"/>
    </w:rPr>
  </w:style>
  <w:style w:type="paragraph" w:styleId="Citao">
    <w:name w:val="Quote"/>
    <w:basedOn w:val="Normal"/>
    <w:next w:val="Normal"/>
    <w:link w:val="CitaoChar"/>
    <w:uiPriority w:val="29"/>
    <w:qFormat w:val="1"/>
    <w:rsid w:val="00FC693F"/>
    <w:rPr>
      <w:i w:val="1"/>
      <w:iCs w:val="1"/>
      <w:color w:val="000000" w:themeColor="text1"/>
    </w:rPr>
  </w:style>
  <w:style w:type="character" w:styleId="CitaoChar" w:customStyle="1">
    <w:name w:val="Citação Char"/>
    <w:basedOn w:val="Fontepargpadro"/>
    <w:link w:val="Citao"/>
    <w:uiPriority w:val="29"/>
    <w:rsid w:val="00FC693F"/>
    <w:rPr>
      <w:i w:val="1"/>
      <w:iCs w:val="1"/>
      <w:color w:val="000000" w:themeColor="text1"/>
    </w:rPr>
  </w:style>
  <w:style w:type="character" w:styleId="Ttulo4Char" w:customStyle="1">
    <w:name w:val="Título 4 Char"/>
    <w:basedOn w:val="Fontepargpadro"/>
    <w:link w:val="Ttulo4"/>
    <w:uiPriority w:val="9"/>
    <w:semiHidden w:val="1"/>
    <w:rsid w:val="00FC693F"/>
    <w:rPr>
      <w:rFonts w:asciiTheme="majorHAnsi" w:cstheme="majorBidi" w:eastAsiaTheme="majorEastAsia" w:hAnsiTheme="majorHAnsi"/>
      <w:b w:val="1"/>
      <w:bCs w:val="1"/>
      <w:i w:val="1"/>
      <w:iCs w:val="1"/>
      <w:color w:val="4f81bd" w:themeColor="accent1"/>
    </w:rPr>
  </w:style>
  <w:style w:type="character" w:styleId="Ttulo5Char" w:customStyle="1">
    <w:name w:val="Título 5 Char"/>
    <w:basedOn w:val="Fontepargpadro"/>
    <w:link w:val="Ttulo5"/>
    <w:uiPriority w:val="9"/>
    <w:semiHidden w:val="1"/>
    <w:rsid w:val="00FC693F"/>
    <w:rPr>
      <w:rFonts w:asciiTheme="majorHAnsi" w:cstheme="majorBidi" w:eastAsiaTheme="majorEastAsia" w:hAnsiTheme="majorHAnsi"/>
      <w:color w:val="243f60" w:themeColor="accent1" w:themeShade="00007F"/>
    </w:rPr>
  </w:style>
  <w:style w:type="character" w:styleId="Ttulo6Char" w:customStyle="1">
    <w:name w:val="Título 6 Char"/>
    <w:basedOn w:val="Fontepargpadro"/>
    <w:link w:val="Ttulo6"/>
    <w:uiPriority w:val="9"/>
    <w:semiHidden w:val="1"/>
    <w:rsid w:val="00FC693F"/>
    <w:rPr>
      <w:rFonts w:asciiTheme="majorHAnsi" w:cstheme="majorBidi" w:eastAsiaTheme="majorEastAsia" w:hAnsiTheme="majorHAnsi"/>
      <w:i w:val="1"/>
      <w:iCs w:val="1"/>
      <w:color w:val="243f60" w:themeColor="accent1" w:themeShade="00007F"/>
    </w:rPr>
  </w:style>
  <w:style w:type="character" w:styleId="Ttulo7Char" w:customStyle="1">
    <w:name w:val="Título 7 Char"/>
    <w:basedOn w:val="Fontepargpadro"/>
    <w:link w:val="Ttulo7"/>
    <w:uiPriority w:val="9"/>
    <w:semiHidden w:val="1"/>
    <w:rsid w:val="00FC693F"/>
    <w:rPr>
      <w:rFonts w:asciiTheme="majorHAnsi" w:cstheme="majorBidi" w:eastAsiaTheme="majorEastAsia" w:hAnsiTheme="majorHAnsi"/>
      <w:i w:val="1"/>
      <w:iCs w:val="1"/>
      <w:color w:val="404040" w:themeColor="text1" w:themeTint="0000BF"/>
    </w:rPr>
  </w:style>
  <w:style w:type="character" w:styleId="Ttulo8Char" w:customStyle="1">
    <w:name w:val="Título 8 Char"/>
    <w:basedOn w:val="Fontepargpadro"/>
    <w:link w:val="Ttulo8"/>
    <w:uiPriority w:val="9"/>
    <w:semiHidden w:val="1"/>
    <w:rsid w:val="00FC693F"/>
    <w:rPr>
      <w:rFonts w:asciiTheme="majorHAnsi" w:cstheme="majorBidi" w:eastAsiaTheme="majorEastAsia" w:hAnsiTheme="majorHAnsi"/>
      <w:color w:val="4f81bd" w:themeColor="accent1"/>
      <w:sz w:val="20"/>
      <w:szCs w:val="20"/>
    </w:rPr>
  </w:style>
  <w:style w:type="character" w:styleId="Ttulo9Char" w:customStyle="1">
    <w:name w:val="Título 9 Char"/>
    <w:basedOn w:val="Fontepargpadro"/>
    <w:link w:val="Ttulo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Legenda">
    <w:name w:val="caption"/>
    <w:basedOn w:val="Normal"/>
    <w:next w:val="Normal"/>
    <w:uiPriority w:val="35"/>
    <w:semiHidden w:val="1"/>
    <w:unhideWhenUsed w:val="1"/>
    <w:qFormat w:val="1"/>
    <w:rsid w:val="00FC693F"/>
    <w:pPr>
      <w:spacing w:line="240" w:lineRule="auto"/>
    </w:pPr>
    <w:rPr>
      <w:b w:val="1"/>
      <w:bCs w:val="1"/>
      <w:color w:val="4f81bd" w:themeColor="accent1"/>
      <w:sz w:val="18"/>
      <w:szCs w:val="18"/>
    </w:rPr>
  </w:style>
  <w:style w:type="character" w:styleId="Forte">
    <w:name w:val="Strong"/>
    <w:basedOn w:val="Fontepargpadro"/>
    <w:uiPriority w:val="22"/>
    <w:qFormat w:val="1"/>
    <w:rsid w:val="00FC693F"/>
    <w:rPr>
      <w:b w:val="1"/>
      <w:bCs w:val="1"/>
    </w:rPr>
  </w:style>
  <w:style w:type="character" w:styleId="nfase">
    <w:name w:val="Emphasis"/>
    <w:basedOn w:val="Fontepargpadro"/>
    <w:uiPriority w:val="20"/>
    <w:qFormat w:val="1"/>
    <w:rsid w:val="00FC693F"/>
    <w:rPr>
      <w:i w:val="1"/>
      <w:iCs w:val="1"/>
    </w:rPr>
  </w:style>
  <w:style w:type="paragraph" w:styleId="CitaoIntensa">
    <w:name w:val="Intense Quote"/>
    <w:basedOn w:val="Normal"/>
    <w:next w:val="Normal"/>
    <w:link w:val="CitaoIntensa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CitaoIntensaChar" w:customStyle="1">
    <w:name w:val="Citação Intensa Char"/>
    <w:basedOn w:val="Fontepargpadro"/>
    <w:link w:val="CitaoIntensa"/>
    <w:uiPriority w:val="30"/>
    <w:rsid w:val="00FC693F"/>
    <w:rPr>
      <w:b w:val="1"/>
      <w:bCs w:val="1"/>
      <w:i w:val="1"/>
      <w:iCs w:val="1"/>
      <w:color w:val="4f81bd" w:themeColor="accent1"/>
    </w:rPr>
  </w:style>
  <w:style w:type="character" w:styleId="nfaseSutil">
    <w:name w:val="Subtle Emphasis"/>
    <w:basedOn w:val="Fontepargpadro"/>
    <w:uiPriority w:val="19"/>
    <w:qFormat w:val="1"/>
    <w:rsid w:val="00FC693F"/>
    <w:rPr>
      <w:i w:val="1"/>
      <w:iCs w:val="1"/>
      <w:color w:val="808080" w:themeColor="text1" w:themeTint="00007F"/>
    </w:rPr>
  </w:style>
  <w:style w:type="character" w:styleId="nfaseIntensa">
    <w:name w:val="Intense Emphasis"/>
    <w:basedOn w:val="Fontepargpadro"/>
    <w:uiPriority w:val="21"/>
    <w:qFormat w:val="1"/>
    <w:rsid w:val="00FC693F"/>
    <w:rPr>
      <w:b w:val="1"/>
      <w:bCs w:val="1"/>
      <w:i w:val="1"/>
      <w:iCs w:val="1"/>
      <w:color w:val="4f81bd" w:themeColor="accent1"/>
    </w:rPr>
  </w:style>
  <w:style w:type="character" w:styleId="RefernciaSutil">
    <w:name w:val="Subtle Reference"/>
    <w:basedOn w:val="Fontepargpadro"/>
    <w:uiPriority w:val="31"/>
    <w:qFormat w:val="1"/>
    <w:rsid w:val="00FC693F"/>
    <w:rPr>
      <w:smallCaps w:val="1"/>
      <w:color w:val="c0504d" w:themeColor="accent2"/>
      <w:u w:val="single"/>
    </w:rPr>
  </w:style>
  <w:style w:type="character" w:styleId="RefernciaIntensa">
    <w:name w:val="Intense Reference"/>
    <w:basedOn w:val="Fontepargpadro"/>
    <w:uiPriority w:val="32"/>
    <w:qFormat w:val="1"/>
    <w:rsid w:val="00FC693F"/>
    <w:rPr>
      <w:b w:val="1"/>
      <w:bCs w:val="1"/>
      <w:smallCaps w:val="1"/>
      <w:color w:val="c0504d" w:themeColor="accent2"/>
      <w:spacing w:val="5"/>
      <w:u w:val="single"/>
    </w:rPr>
  </w:style>
  <w:style w:type="character" w:styleId="TtulodoLivro">
    <w:name w:val="Book Title"/>
    <w:basedOn w:val="Fontepargpadro"/>
    <w:uiPriority w:val="33"/>
    <w:qFormat w:val="1"/>
    <w:rsid w:val="00FC693F"/>
    <w:rPr>
      <w:b w:val="1"/>
      <w:bCs w:val="1"/>
      <w:smallCaps w:val="1"/>
      <w:spacing w:val="5"/>
    </w:rPr>
  </w:style>
  <w:style w:type="paragraph" w:styleId="CabealhodoSumrio">
    <w:name w:val="TOC Heading"/>
    <w:basedOn w:val="Ttulo1"/>
    <w:next w:val="Normal"/>
    <w:uiPriority w:val="39"/>
    <w:semiHidden w:val="1"/>
    <w:unhideWhenUsed w:val="1"/>
    <w:qFormat w:val="1"/>
    <w:rsid w:val="00FC693F"/>
    <w:pPr>
      <w:outlineLvl w:val="9"/>
    </w:pPr>
  </w:style>
  <w:style w:type="table" w:styleId="Tabelacomgrade">
    <w:name w:val="Table Grid"/>
    <w:basedOn w:val="Tabelanormal"/>
    <w:uiPriority w:val="59"/>
    <w:rsid w:val="00FC693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SombreamentoClaro">
    <w:name w:val="Light Shading"/>
    <w:basedOn w:val="Tabelanormal"/>
    <w:uiPriority w:val="60"/>
    <w:rsid w:val="00FC693F"/>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SombreamentoClaro-nfase1">
    <w:name w:val="Light Shading Accent 1"/>
    <w:basedOn w:val="Tabelanormal"/>
    <w:uiPriority w:val="60"/>
    <w:rsid w:val="00FC693F"/>
    <w:pPr>
      <w:spacing w:after="0" w:line="240" w:lineRule="auto"/>
    </w:pPr>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SombreamentoClaro-nfase2">
    <w:name w:val="Light Shading Accent 2"/>
    <w:basedOn w:val="Tabelanormal"/>
    <w:uiPriority w:val="60"/>
    <w:rsid w:val="00FC693F"/>
    <w:pPr>
      <w:spacing w:after="0" w:line="240" w:lineRule="auto"/>
    </w:pPr>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SombreamentoClaro-nfase3">
    <w:name w:val="Light Shading Accent 3"/>
    <w:basedOn w:val="Tabelanormal"/>
    <w:uiPriority w:val="60"/>
    <w:rsid w:val="00FC693F"/>
    <w:pPr>
      <w:spacing w:after="0" w:line="240" w:lineRule="auto"/>
    </w:pPr>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SombreamentoClaro-nfase4">
    <w:name w:val="Light Shading Accent 4"/>
    <w:basedOn w:val="Tabelanormal"/>
    <w:uiPriority w:val="60"/>
    <w:rsid w:val="00FC693F"/>
    <w:pPr>
      <w:spacing w:after="0" w:line="240" w:lineRule="auto"/>
    </w:pPr>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SombreamentoClaro-nfase5">
    <w:name w:val="Light Shading Accent 5"/>
    <w:basedOn w:val="Tabelanormal"/>
    <w:uiPriority w:val="60"/>
    <w:rsid w:val="00FC693F"/>
    <w:pPr>
      <w:spacing w:after="0" w:line="240" w:lineRule="auto"/>
    </w:pPr>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SombreamentoClaro-nfase6">
    <w:name w:val="Light Shading Accent 6"/>
    <w:basedOn w:val="Tabelanormal"/>
    <w:uiPriority w:val="60"/>
    <w:rsid w:val="00FC693F"/>
    <w:pPr>
      <w:spacing w:after="0" w:line="240" w:lineRule="auto"/>
    </w:pPr>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ListaClara">
    <w:name w:val="Light List"/>
    <w:basedOn w:val="Tabelanormal"/>
    <w:uiPriority w:val="61"/>
    <w:rsid w:val="00FC693F"/>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staClara-nfase1">
    <w:name w:val="Light List Accent 1"/>
    <w:basedOn w:val="Tabelanormal"/>
    <w:uiPriority w:val="61"/>
    <w:rsid w:val="00FC693F"/>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staClara-nfase2">
    <w:name w:val="Light List Accent 2"/>
    <w:basedOn w:val="Tabelanormal"/>
    <w:uiPriority w:val="61"/>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staClara-nfase3">
    <w:name w:val="Light List Accent 3"/>
    <w:basedOn w:val="Tabelanormal"/>
    <w:uiPriority w:val="61"/>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staClara-nfase4">
    <w:name w:val="Light List Accent 4"/>
    <w:basedOn w:val="Tabelanormal"/>
    <w:uiPriority w:val="61"/>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staClara-nfase5">
    <w:name w:val="Light List Accent 5"/>
    <w:basedOn w:val="Tabelanormal"/>
    <w:uiPriority w:val="61"/>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staClara-nfase6">
    <w:name w:val="Light List Accent 6"/>
    <w:basedOn w:val="Tabelanormal"/>
    <w:uiPriority w:val="61"/>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GradeClara">
    <w:name w:val="Light Grid"/>
    <w:basedOn w:val="Tabelanormal"/>
    <w:uiPriority w:val="62"/>
    <w:rsid w:val="00CB0664"/>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GradeClara-nfase1">
    <w:name w:val="Light Grid Accent 1"/>
    <w:basedOn w:val="Tabelanormal"/>
    <w:uiPriority w:val="62"/>
    <w:rsid w:val="00CB0664"/>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GradeClara-nfase2">
    <w:name w:val="Light Grid Accent 2"/>
    <w:basedOn w:val="Tabelanormal"/>
    <w:uiPriority w:val="62"/>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GradeClara-nfase3">
    <w:name w:val="Light Grid Accent 3"/>
    <w:basedOn w:val="Tabelanormal"/>
    <w:uiPriority w:val="62"/>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GradeClara-nfase4">
    <w:name w:val="Light Grid Accent 4"/>
    <w:basedOn w:val="Tabelanormal"/>
    <w:uiPriority w:val="62"/>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GradeClara-nfase5">
    <w:name w:val="Light Grid Accent 5"/>
    <w:basedOn w:val="Tabelanormal"/>
    <w:uiPriority w:val="62"/>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GradeClara-nfase6">
    <w:name w:val="Light Grid Accent 6"/>
    <w:basedOn w:val="Tabelanormal"/>
    <w:uiPriority w:val="62"/>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SombreamentoMdio1">
    <w:name w:val="Medium Shading 1"/>
    <w:basedOn w:val="Tabelanormal"/>
    <w:uiPriority w:val="63"/>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SombreamentoMdio1-nfase1">
    <w:name w:val="Medium Shading 1 Accent 1"/>
    <w:basedOn w:val="Tabelanormal"/>
    <w:uiPriority w:val="63"/>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SombreamentoMdio1-nfase2">
    <w:name w:val="Medium Shading 1 Accent 2"/>
    <w:basedOn w:val="Tabelanormal"/>
    <w:uiPriority w:val="63"/>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SombreamentoMdio1-nfase3">
    <w:name w:val="Medium Shading 1 Accent 3"/>
    <w:basedOn w:val="Tabelanormal"/>
    <w:uiPriority w:val="63"/>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SombreamentoMdio1-nfase4">
    <w:name w:val="Medium Shading 1 Accent 4"/>
    <w:basedOn w:val="Tabelanormal"/>
    <w:uiPriority w:val="63"/>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SombreamentoMdio1-nfase5">
    <w:name w:val="Medium Shading 1 Accent 5"/>
    <w:basedOn w:val="Tabelanormal"/>
    <w:uiPriority w:val="63"/>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SombreamentoMdio1-nfase6">
    <w:name w:val="Medium Shading 1 Accent 6"/>
    <w:basedOn w:val="Tabelanormal"/>
    <w:uiPriority w:val="63"/>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SombreamentoMdio2">
    <w:name w:val="Medium Shading 2"/>
    <w:basedOn w:val="Tabela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SombreamentoMdio2-nfase1">
    <w:name w:val="Medium Shading 2 Accent 1"/>
    <w:basedOn w:val="Tabela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SombreamentoMdio2-nfase2">
    <w:name w:val="Medium Shading 2 Accent 2"/>
    <w:basedOn w:val="Tabela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SombreamentoMdio2-nfase3">
    <w:name w:val="Medium Shading 2 Accent 3"/>
    <w:basedOn w:val="Tabela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SombreamentoMdio2-nfase4">
    <w:name w:val="Medium Shading 2 Accent 4"/>
    <w:basedOn w:val="Tabela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SombreamentoMdio2-nfase5">
    <w:name w:val="Medium Shading 2 Accent 5"/>
    <w:basedOn w:val="Tabela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SombreamentoMdio2-nfase6">
    <w:name w:val="Medium Shading 2 Accent 6"/>
    <w:basedOn w:val="Tabela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staMdia1">
    <w:name w:val="Medium List 1"/>
    <w:basedOn w:val="Tabelanormal"/>
    <w:uiPriority w:val="65"/>
    <w:rsid w:val="00CB0664"/>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ListaMdia1-nfase1">
    <w:name w:val="Medium List 1 Accent 1"/>
    <w:basedOn w:val="Tabelanormal"/>
    <w:uiPriority w:val="65"/>
    <w:rsid w:val="00CB0664"/>
    <w:pPr>
      <w:spacing w:after="0" w:line="240" w:lineRule="auto"/>
    </w:pPr>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ListaMdia1-nfase2">
    <w:name w:val="Medium List 1 Accent 2"/>
    <w:basedOn w:val="Tabelanormal"/>
    <w:uiPriority w:val="65"/>
    <w:rsid w:val="00CB0664"/>
    <w:pPr>
      <w:spacing w:after="0" w:line="240" w:lineRule="auto"/>
    </w:pPr>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ListaMdia1-nfase3">
    <w:name w:val="Medium List 1 Accent 3"/>
    <w:basedOn w:val="Tabelanormal"/>
    <w:uiPriority w:val="65"/>
    <w:rsid w:val="00CB0664"/>
    <w:pPr>
      <w:spacing w:after="0" w:line="240" w:lineRule="auto"/>
    </w:pPr>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ListaMdia1-nfase4">
    <w:name w:val="Medium List 1 Accent 4"/>
    <w:basedOn w:val="Tabelanormal"/>
    <w:uiPriority w:val="65"/>
    <w:rsid w:val="00CB0664"/>
    <w:pPr>
      <w:spacing w:after="0" w:line="240" w:lineRule="auto"/>
    </w:pPr>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ListaMdia1-nfase5">
    <w:name w:val="Medium List 1 Accent 5"/>
    <w:basedOn w:val="Tabelanormal"/>
    <w:uiPriority w:val="65"/>
    <w:rsid w:val="00CB0664"/>
    <w:pPr>
      <w:spacing w:after="0" w:line="240" w:lineRule="auto"/>
    </w:pPr>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ListaMdia1-nfase6">
    <w:name w:val="Medium List 1 Accent 6"/>
    <w:basedOn w:val="Tabelanormal"/>
    <w:uiPriority w:val="65"/>
    <w:rsid w:val="00CB0664"/>
    <w:pPr>
      <w:spacing w:after="0" w:line="240" w:lineRule="auto"/>
    </w:pPr>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ListaMdia2">
    <w:name w:val="Medium List 2"/>
    <w:basedOn w:val="Tabela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ListaMdia2-nfase1">
    <w:name w:val="Medium List 2 Accent 1"/>
    <w:basedOn w:val="Tabela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ListaMdia2-nfase2">
    <w:name w:val="Medium List 2 Accent 2"/>
    <w:basedOn w:val="Tabela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ListaMdia2-nfase3">
    <w:name w:val="Medium List 2 Accent 3"/>
    <w:basedOn w:val="Tabela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ListaMdia2-nfase4">
    <w:name w:val="Medium List 2 Accent 4"/>
    <w:basedOn w:val="Tabela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ListaMdia2-nfase5">
    <w:name w:val="Medium List 2 Accent 5"/>
    <w:basedOn w:val="Tabela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ListaMdia2-nfase6">
    <w:name w:val="Medium List 2 Accent 6"/>
    <w:basedOn w:val="Tabela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GradeMdia1">
    <w:name w:val="Medium Grid 1"/>
    <w:basedOn w:val="Tabelanormal"/>
    <w:uiPriority w:val="67"/>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GradeMdia1-nfase1">
    <w:name w:val="Medium Grid 1 Accent 1"/>
    <w:basedOn w:val="Tabelanormal"/>
    <w:uiPriority w:val="67"/>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GradeMdia1-nfase2">
    <w:name w:val="Medium Grid 1 Accent 2"/>
    <w:basedOn w:val="Tabelanormal"/>
    <w:uiPriority w:val="67"/>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GradeMdia1-nfase3">
    <w:name w:val="Medium Grid 1 Accent 3"/>
    <w:basedOn w:val="Tabelanormal"/>
    <w:uiPriority w:val="67"/>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GradeMdia1-nfase4">
    <w:name w:val="Medium Grid 1 Accent 4"/>
    <w:basedOn w:val="Tabelanormal"/>
    <w:uiPriority w:val="67"/>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GradeMdia1-nfase5">
    <w:name w:val="Medium Grid 1 Accent 5"/>
    <w:basedOn w:val="Tabelanormal"/>
    <w:uiPriority w:val="67"/>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GradeMdia1-nfase6">
    <w:name w:val="Medium Grid 1 Accent 6"/>
    <w:basedOn w:val="Tabelanormal"/>
    <w:uiPriority w:val="67"/>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GradeMdia2">
    <w:name w:val="Medium Grid 2"/>
    <w:basedOn w:val="Tabela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GradeMdia2-nfase1">
    <w:name w:val="Medium Grid 2 Accent 1"/>
    <w:basedOn w:val="Tabela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GradeMdia2-nfase2">
    <w:name w:val="Medium Grid 2 Accent 2"/>
    <w:basedOn w:val="Tabela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GradeMdia2-nfase3">
    <w:name w:val="Medium Grid 2 Accent 3"/>
    <w:basedOn w:val="Tabela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GradeMdia2-nfase4">
    <w:name w:val="Medium Grid 2 Accent 4"/>
    <w:basedOn w:val="Tabela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GradeMdia2-nfase5">
    <w:name w:val="Medium Grid 2 Accent 5"/>
    <w:basedOn w:val="Tabela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GradeMdia2-nfase6">
    <w:name w:val="Medium Grid 2 Accent 6"/>
    <w:basedOn w:val="Tabela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GradeMdia3">
    <w:name w:val="Medium Grid 3"/>
    <w:basedOn w:val="Tabela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GradeMdia3-nfase1">
    <w:name w:val="Medium Grid 3 Accent 1"/>
    <w:basedOn w:val="Tabela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GradeMdia3-nfase2">
    <w:name w:val="Medium Grid 3 Accent 2"/>
    <w:basedOn w:val="Tabela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GradeMdia3-nfase3">
    <w:name w:val="Medium Grid 3 Accent 3"/>
    <w:basedOn w:val="Tabela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GradeMdia3-nfase4">
    <w:name w:val="Medium Grid 3 Accent 4"/>
    <w:basedOn w:val="Tabela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GradeMdia3-nfase5">
    <w:name w:val="Medium Grid 3 Accent 5"/>
    <w:basedOn w:val="Tabela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GradeMdia3-nfase6">
    <w:name w:val="Medium Grid 3 Accent 6"/>
    <w:basedOn w:val="Tabela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ListaEscura">
    <w:name w:val="Dark List"/>
    <w:basedOn w:val="Tabelanormal"/>
    <w:uiPriority w:val="70"/>
    <w:rsid w:val="00CB0664"/>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ListaEscura-nfase1">
    <w:name w:val="Dark List Accent 1"/>
    <w:basedOn w:val="Tabelanormal"/>
    <w:uiPriority w:val="70"/>
    <w:rsid w:val="00CB0664"/>
    <w:pPr>
      <w:spacing w:after="0" w:line="240" w:lineRule="auto"/>
    </w:pPr>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staEscura-nfase2">
    <w:name w:val="Dark List Accent 2"/>
    <w:basedOn w:val="Tabelanormal"/>
    <w:uiPriority w:val="70"/>
    <w:rsid w:val="00CB0664"/>
    <w:pPr>
      <w:spacing w:after="0" w:line="240" w:lineRule="auto"/>
    </w:pPr>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ListaEscura-nfase3">
    <w:name w:val="Dark List Accent 3"/>
    <w:basedOn w:val="Tabelanormal"/>
    <w:uiPriority w:val="70"/>
    <w:rsid w:val="00CB0664"/>
    <w:pPr>
      <w:spacing w:after="0" w:line="240" w:lineRule="auto"/>
    </w:pPr>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ListaEscura-nfase4">
    <w:name w:val="Dark List Accent 4"/>
    <w:basedOn w:val="Tabelanormal"/>
    <w:uiPriority w:val="70"/>
    <w:rsid w:val="00CB0664"/>
    <w:pPr>
      <w:spacing w:after="0" w:line="240" w:lineRule="auto"/>
    </w:pPr>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ListaEscura-nfase5">
    <w:name w:val="Dark List Accent 5"/>
    <w:basedOn w:val="Tabelanormal"/>
    <w:uiPriority w:val="70"/>
    <w:rsid w:val="00CB0664"/>
    <w:pPr>
      <w:spacing w:after="0" w:line="240" w:lineRule="auto"/>
    </w:pPr>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ListaEscura-nfase6">
    <w:name w:val="Dark List Accent 6"/>
    <w:basedOn w:val="Tabelanormal"/>
    <w:uiPriority w:val="70"/>
    <w:rsid w:val="00CB0664"/>
    <w:pPr>
      <w:spacing w:after="0" w:line="240" w:lineRule="auto"/>
    </w:pPr>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SombreamentoColorido">
    <w:name w:val="Colorful Shading"/>
    <w:basedOn w:val="Tabelanormal"/>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SombreamentoEscuro-nfase1">
    <w:name w:val="Colorful Shading Accent 1"/>
    <w:basedOn w:val="Tabelanormal"/>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SombreamentoColorido-nfase2">
    <w:name w:val="Colorful Shading Accent 2"/>
    <w:basedOn w:val="Tabelanormal"/>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SombreamentoColorido-nfase3">
    <w:name w:val="Colorful Shading Accent 3"/>
    <w:basedOn w:val="Tabelanormal"/>
    <w:uiPriority w:val="71"/>
    <w:rsid w:val="00CB0664"/>
    <w:pPr>
      <w:spacing w:after="0" w:line="240" w:lineRule="auto"/>
    </w:pPr>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SombreamentoColorido-nfase4">
    <w:name w:val="Colorful Shading Accent 4"/>
    <w:basedOn w:val="Tabelanormal"/>
    <w:uiPriority w:val="71"/>
    <w:rsid w:val="00CB0664"/>
    <w:pPr>
      <w:spacing w:after="0" w:line="240" w:lineRule="auto"/>
    </w:pPr>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SombreamentoColorido-nfase5">
    <w:name w:val="Colorful Shading Accent 5"/>
    <w:basedOn w:val="Tabelanormal"/>
    <w:uiPriority w:val="71"/>
    <w:rsid w:val="00CB0664"/>
    <w:pPr>
      <w:spacing w:after="0" w:line="240" w:lineRule="auto"/>
    </w:pPr>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SombreamentoColorido-nfase6">
    <w:name w:val="Colorful Shading Accent 6"/>
    <w:basedOn w:val="Tabelanormal"/>
    <w:uiPriority w:val="71"/>
    <w:rsid w:val="00CB0664"/>
    <w:pPr>
      <w:spacing w:after="0" w:line="240" w:lineRule="auto"/>
    </w:pPr>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ListaColorida">
    <w:name w:val="Colorful List"/>
    <w:basedOn w:val="Tabelanormal"/>
    <w:uiPriority w:val="72"/>
    <w:rsid w:val="00CB0664"/>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ListaColorida-nfase1">
    <w:name w:val="Colorful List Accent 1"/>
    <w:basedOn w:val="Tabelanormal"/>
    <w:uiPriority w:val="72"/>
    <w:rsid w:val="00CB0664"/>
    <w:pPr>
      <w:spacing w:after="0" w:line="240" w:lineRule="auto"/>
    </w:pPr>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ListaColorida-nfase2">
    <w:name w:val="Colorful List Accent 2"/>
    <w:basedOn w:val="Tabelanormal"/>
    <w:uiPriority w:val="72"/>
    <w:rsid w:val="00CB0664"/>
    <w:pPr>
      <w:spacing w:after="0" w:line="240" w:lineRule="auto"/>
    </w:pPr>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ListaColorida-nfase3">
    <w:name w:val="Colorful List Accent 3"/>
    <w:basedOn w:val="Tabelanormal"/>
    <w:uiPriority w:val="72"/>
    <w:rsid w:val="00CB0664"/>
    <w:pPr>
      <w:spacing w:after="0" w:line="240" w:lineRule="auto"/>
    </w:pPr>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ListaColorida-nfase4">
    <w:name w:val="Colorful List Accent 4"/>
    <w:basedOn w:val="Tabelanormal"/>
    <w:uiPriority w:val="72"/>
    <w:rsid w:val="00CB0664"/>
    <w:pPr>
      <w:spacing w:after="0" w:line="240" w:lineRule="auto"/>
    </w:pPr>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ListaColorida-nfase5">
    <w:name w:val="Colorful List Accent 5"/>
    <w:basedOn w:val="Tabelanormal"/>
    <w:uiPriority w:val="72"/>
    <w:rsid w:val="00CB0664"/>
    <w:pPr>
      <w:spacing w:after="0" w:line="240" w:lineRule="auto"/>
    </w:pPr>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ListaColorida-nfase6">
    <w:name w:val="Colorful List Accent 6"/>
    <w:basedOn w:val="Tabelanormal"/>
    <w:uiPriority w:val="72"/>
    <w:rsid w:val="00CB0664"/>
    <w:pPr>
      <w:spacing w:after="0" w:line="240" w:lineRule="auto"/>
    </w:pPr>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GradeColorida">
    <w:name w:val="Colorful Grid"/>
    <w:basedOn w:val="Tabela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GradeColorida-nfase1">
    <w:name w:val="Colorful Grid Accent 1"/>
    <w:basedOn w:val="Tabela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GradeColorida-nfase2">
    <w:name w:val="Colorful Grid Accent 2"/>
    <w:basedOn w:val="Tabela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GradeColorida-nfase3">
    <w:name w:val="Colorful Grid Accent 3"/>
    <w:basedOn w:val="Tabela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GradeColorida-nfase4">
    <w:name w:val="Colorful Grid Accent 4"/>
    <w:basedOn w:val="Tabela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GradeColorida-nfase5">
    <w:name w:val="Colorful Grid Accent 5"/>
    <w:basedOn w:val="Tabela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GradeColorida-nfase6">
    <w:name w:val="Colorful Grid Accent 6"/>
    <w:basedOn w:val="Tabela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character" w:styleId="Hyperlink">
    <w:name w:val="Hyperlink"/>
    <w:basedOn w:val="Fontepargpadro"/>
    <w:uiPriority w:val="99"/>
    <w:unhideWhenUsed w:val="1"/>
    <w:rsid w:val="00F73F9A"/>
    <w:rPr>
      <w:color w:val="0000ff" w:themeColor="hyperlink"/>
      <w:u w:val="single"/>
    </w:rPr>
  </w:style>
  <w:style w:type="character" w:styleId="MenoPendente">
    <w:name w:val="Unresolved Mention"/>
    <w:basedOn w:val="Fontepargpadro"/>
    <w:uiPriority w:val="99"/>
    <w:semiHidden w:val="1"/>
    <w:unhideWhenUsed w:val="1"/>
    <w:rsid w:val="00F73F9A"/>
    <w:rPr>
      <w:color w:val="605e5c"/>
      <w:shd w:color="auto" w:fill="e1dfdd" w:val="clear"/>
    </w:rPr>
  </w:style>
  <w:style w:type="paragraph" w:styleId="Textodenotaderodap">
    <w:name w:val="footnote text"/>
    <w:basedOn w:val="Normal"/>
    <w:link w:val="TextodenotaderodapChar"/>
    <w:uiPriority w:val="99"/>
    <w:semiHidden w:val="1"/>
    <w:unhideWhenUsed w:val="1"/>
    <w:rsid w:val="0041552D"/>
    <w:pPr>
      <w:spacing w:line="240" w:lineRule="auto"/>
    </w:pPr>
    <w:rPr>
      <w:sz w:val="20"/>
      <w:szCs w:val="20"/>
    </w:rPr>
  </w:style>
  <w:style w:type="character" w:styleId="TextodenotaderodapChar" w:customStyle="1">
    <w:name w:val="Texto de nota de rodapé Char"/>
    <w:basedOn w:val="Fontepargpadro"/>
    <w:link w:val="Textodenotaderodap"/>
    <w:uiPriority w:val="99"/>
    <w:semiHidden w:val="1"/>
    <w:rsid w:val="0041552D"/>
    <w:rPr>
      <w:rFonts w:ascii="Times New Roman" w:hAnsi="Times New Roman"/>
      <w:sz w:val="20"/>
      <w:szCs w:val="20"/>
    </w:rPr>
  </w:style>
  <w:style w:type="character" w:styleId="Refdenotaderodap">
    <w:name w:val="footnote reference"/>
    <w:basedOn w:val="Fontepargpadro"/>
    <w:uiPriority w:val="99"/>
    <w:semiHidden w:val="1"/>
    <w:unhideWhenUsed w:val="1"/>
    <w:rsid w:val="0041552D"/>
    <w:rPr>
      <w:vertAlign w:val="superscript"/>
    </w:rPr>
  </w:style>
  <w:style w:type="paragraph" w:styleId="Subtitle">
    <w:name w:val="Subtitle"/>
    <w:basedOn w:val="Normal"/>
    <w:next w:val="Normal"/>
    <w:pPr>
      <w:ind w:firstLine="709"/>
    </w:pPr>
    <w:rPr>
      <w:rFonts w:ascii="Calibri" w:cs="Calibri" w:eastAsia="Calibri" w:hAnsi="Calibri"/>
      <w:i w:val="1"/>
      <w:iCs w:val="1"/>
      <w:color w:val="4f81bd"/>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QP7iNEIBLY92n7EmJmze/0XvQA==">CgMxLjA4AHIhMWpHcWZ0VlpkRHJKU0ktZDJlYl8xYzFBWC15eVZfbHM3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2026-02-09T12:46:00Z</dcterms:created>
  <dc:creator>python-docx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0c9c81c6-bb8c-4db4-a22f-6ac58d6eb999</vt:lpwstr>
  </property>
</Properties>
</file>